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215F" w14:textId="77777777"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RAPORT O SYTUACJI EKONOMICZNO</w:t>
      </w:r>
      <w:r>
        <w:rPr>
          <w:rFonts w:ascii="Arial" w:hAnsi="Arial" w:cs="Arial"/>
          <w:b/>
          <w:bCs/>
          <w:sz w:val="32"/>
          <w:szCs w:val="32"/>
        </w:rPr>
        <w:t>-</w:t>
      </w:r>
      <w:r w:rsidRPr="001772C3">
        <w:rPr>
          <w:rFonts w:ascii="Arial" w:hAnsi="Arial" w:cs="Arial"/>
          <w:b/>
          <w:bCs/>
          <w:sz w:val="32"/>
          <w:szCs w:val="32"/>
        </w:rPr>
        <w:t>FINANSOWEJ SAMODZIELNEGO PUBLICZNEGO ZAKŁADU OPIEKI ZDROWOTNEJ</w:t>
      </w:r>
    </w:p>
    <w:p w14:paraId="5910ECE9" w14:textId="77777777"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SZPITAL KOLEJOWY W WILKOWICACH-BYSTREJ</w:t>
      </w:r>
    </w:p>
    <w:p w14:paraId="795D97B5" w14:textId="63C94AE0"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 xml:space="preserve"> ZA 202</w:t>
      </w:r>
      <w:r w:rsidR="00310CC9">
        <w:rPr>
          <w:rFonts w:ascii="Arial" w:hAnsi="Arial" w:cs="Arial"/>
          <w:b/>
          <w:bCs/>
          <w:sz w:val="32"/>
          <w:szCs w:val="32"/>
        </w:rPr>
        <w:t>2</w:t>
      </w:r>
      <w:r w:rsidRPr="001772C3">
        <w:rPr>
          <w:rFonts w:ascii="Arial" w:hAnsi="Arial" w:cs="Arial"/>
          <w:b/>
          <w:bCs/>
          <w:sz w:val="32"/>
          <w:szCs w:val="32"/>
        </w:rPr>
        <w:t xml:space="preserve"> ROK</w:t>
      </w:r>
    </w:p>
    <w:p w14:paraId="1691FEA1" w14:textId="77777777" w:rsidR="00DD2510" w:rsidRPr="006D15F0" w:rsidRDefault="00DD2510" w:rsidP="00433D97">
      <w:pPr>
        <w:rPr>
          <w:rFonts w:ascii="Arial" w:hAnsi="Arial" w:cs="Arial"/>
          <w:b/>
          <w:bCs/>
          <w:sz w:val="36"/>
          <w:szCs w:val="36"/>
        </w:rPr>
      </w:pPr>
      <w:r w:rsidRPr="006D15F0">
        <w:rPr>
          <w:rFonts w:ascii="Arial" w:hAnsi="Arial" w:cs="Arial"/>
          <w:b/>
          <w:bCs/>
          <w:sz w:val="36"/>
          <w:szCs w:val="36"/>
        </w:rPr>
        <w:tab/>
        <w:t xml:space="preserve"> </w:t>
      </w:r>
    </w:p>
    <w:p w14:paraId="79E23456" w14:textId="77777777" w:rsidR="00DD2510" w:rsidRPr="00402325" w:rsidRDefault="00DD2510" w:rsidP="00433D97">
      <w:pPr>
        <w:rPr>
          <w:b/>
          <w:bCs/>
          <w:sz w:val="36"/>
          <w:szCs w:val="36"/>
        </w:rPr>
      </w:pPr>
    </w:p>
    <w:p w14:paraId="75FEBCE0" w14:textId="77777777" w:rsidR="00DD2510" w:rsidRDefault="00DD2510" w:rsidP="00433D97">
      <w:pPr>
        <w:jc w:val="center"/>
        <w:rPr>
          <w:b/>
          <w:bCs/>
          <w:noProof/>
          <w:sz w:val="36"/>
          <w:szCs w:val="36"/>
        </w:rPr>
      </w:pPr>
    </w:p>
    <w:p w14:paraId="48A0E478" w14:textId="77777777" w:rsidR="00DD2510" w:rsidRDefault="00DD2510" w:rsidP="00433D97">
      <w:pPr>
        <w:jc w:val="center"/>
        <w:rPr>
          <w:b/>
          <w:bCs/>
          <w:noProof/>
          <w:sz w:val="36"/>
          <w:szCs w:val="36"/>
        </w:rPr>
      </w:pPr>
    </w:p>
    <w:p w14:paraId="5F69BC9D" w14:textId="77777777" w:rsidR="00DD2510" w:rsidRDefault="00DD2510" w:rsidP="00433D97">
      <w:pPr>
        <w:jc w:val="center"/>
        <w:rPr>
          <w:b/>
          <w:bCs/>
          <w:noProof/>
          <w:sz w:val="36"/>
          <w:szCs w:val="36"/>
        </w:rPr>
      </w:pPr>
    </w:p>
    <w:p w14:paraId="7675B7E3" w14:textId="77777777" w:rsidR="00DD2510" w:rsidRDefault="00DD2510" w:rsidP="00433D97">
      <w:pPr>
        <w:jc w:val="center"/>
        <w:rPr>
          <w:b/>
          <w:bCs/>
          <w:noProof/>
          <w:sz w:val="36"/>
          <w:szCs w:val="36"/>
        </w:rPr>
      </w:pPr>
    </w:p>
    <w:p w14:paraId="1D1C6C0A" w14:textId="77777777" w:rsidR="00DD2510" w:rsidRDefault="00DD2510" w:rsidP="00433D97">
      <w:pPr>
        <w:jc w:val="center"/>
        <w:rPr>
          <w:b/>
          <w:bCs/>
          <w:noProof/>
          <w:sz w:val="36"/>
          <w:szCs w:val="36"/>
        </w:rPr>
      </w:pPr>
    </w:p>
    <w:p w14:paraId="666976C0" w14:textId="77777777" w:rsidR="00DD2510" w:rsidRDefault="00DD2510" w:rsidP="00433D97">
      <w:pPr>
        <w:jc w:val="center"/>
        <w:rPr>
          <w:b/>
          <w:bCs/>
          <w:noProof/>
          <w:sz w:val="36"/>
          <w:szCs w:val="36"/>
        </w:rPr>
      </w:pPr>
    </w:p>
    <w:p w14:paraId="76FD89A6" w14:textId="77777777" w:rsidR="00DD2510" w:rsidRDefault="00DD2510" w:rsidP="00433D97">
      <w:pPr>
        <w:jc w:val="center"/>
        <w:rPr>
          <w:b/>
          <w:bCs/>
          <w:noProof/>
          <w:sz w:val="36"/>
          <w:szCs w:val="36"/>
        </w:rPr>
      </w:pPr>
    </w:p>
    <w:p w14:paraId="7796A6B4" w14:textId="77777777" w:rsidR="00DD2510" w:rsidRDefault="00DD2510" w:rsidP="00433D97">
      <w:pPr>
        <w:jc w:val="center"/>
        <w:rPr>
          <w:b/>
          <w:bCs/>
          <w:noProof/>
          <w:sz w:val="36"/>
          <w:szCs w:val="36"/>
        </w:rPr>
      </w:pPr>
    </w:p>
    <w:p w14:paraId="69863BE7" w14:textId="77777777" w:rsidR="00DD2510" w:rsidRDefault="00DD2510" w:rsidP="00433D97">
      <w:pPr>
        <w:jc w:val="center"/>
        <w:rPr>
          <w:b/>
          <w:bCs/>
          <w:noProof/>
          <w:sz w:val="36"/>
          <w:szCs w:val="36"/>
        </w:rPr>
      </w:pPr>
    </w:p>
    <w:p w14:paraId="5DB4F824" w14:textId="77777777" w:rsidR="00DD2510" w:rsidRDefault="00DD2510" w:rsidP="00433D97">
      <w:pPr>
        <w:jc w:val="center"/>
        <w:rPr>
          <w:b/>
          <w:bCs/>
          <w:noProof/>
          <w:sz w:val="36"/>
          <w:szCs w:val="36"/>
        </w:rPr>
      </w:pPr>
    </w:p>
    <w:p w14:paraId="02A05426" w14:textId="77777777" w:rsidR="00DD2510" w:rsidRDefault="00DD2510" w:rsidP="00433D97">
      <w:pPr>
        <w:jc w:val="center"/>
        <w:rPr>
          <w:b/>
          <w:bCs/>
          <w:noProof/>
          <w:sz w:val="36"/>
          <w:szCs w:val="36"/>
        </w:rPr>
      </w:pPr>
    </w:p>
    <w:p w14:paraId="5BC8EBD4" w14:textId="77777777" w:rsidR="00DD2510" w:rsidRDefault="00DD2510" w:rsidP="00433D97">
      <w:pPr>
        <w:jc w:val="center"/>
        <w:rPr>
          <w:b/>
          <w:bCs/>
          <w:noProof/>
          <w:sz w:val="36"/>
          <w:szCs w:val="36"/>
        </w:rPr>
      </w:pPr>
    </w:p>
    <w:p w14:paraId="460BFC6F" w14:textId="77777777" w:rsidR="00DD2510" w:rsidRDefault="00DD2510" w:rsidP="00433D97">
      <w:pPr>
        <w:jc w:val="center"/>
        <w:rPr>
          <w:b/>
          <w:bCs/>
          <w:sz w:val="28"/>
          <w:szCs w:val="28"/>
        </w:rPr>
      </w:pPr>
    </w:p>
    <w:p w14:paraId="54E005B1" w14:textId="77777777" w:rsidR="00DD2510" w:rsidRDefault="00DD2510" w:rsidP="00433D97">
      <w:pPr>
        <w:jc w:val="center"/>
        <w:rPr>
          <w:b/>
          <w:bCs/>
          <w:sz w:val="28"/>
          <w:szCs w:val="28"/>
        </w:rPr>
      </w:pPr>
    </w:p>
    <w:p w14:paraId="31472933" w14:textId="77777777" w:rsidR="00DD2510" w:rsidRPr="00402325" w:rsidRDefault="00DD2510" w:rsidP="00433D97">
      <w:pPr>
        <w:jc w:val="center"/>
        <w:rPr>
          <w:b/>
          <w:bCs/>
          <w:sz w:val="28"/>
          <w:szCs w:val="28"/>
        </w:rPr>
      </w:pPr>
    </w:p>
    <w:p w14:paraId="12045176" w14:textId="77777777" w:rsidR="00DD2510" w:rsidRDefault="00DD2510" w:rsidP="00433D97">
      <w:pPr>
        <w:jc w:val="center"/>
        <w:rPr>
          <w:b/>
          <w:bCs/>
          <w:sz w:val="28"/>
          <w:szCs w:val="28"/>
        </w:rPr>
      </w:pPr>
    </w:p>
    <w:p w14:paraId="4AB5DDBB" w14:textId="77777777" w:rsidR="00DD2510" w:rsidRDefault="00DD2510" w:rsidP="00433D97">
      <w:pPr>
        <w:jc w:val="center"/>
        <w:rPr>
          <w:b/>
          <w:bCs/>
          <w:sz w:val="28"/>
          <w:szCs w:val="28"/>
        </w:rPr>
      </w:pPr>
    </w:p>
    <w:p w14:paraId="3E081BCF" w14:textId="23176DEB" w:rsidR="00DD2510" w:rsidRPr="0037791C" w:rsidRDefault="00DD2510" w:rsidP="00DB0D7B">
      <w:pPr>
        <w:ind w:left="2127" w:firstLine="709"/>
        <w:rPr>
          <w:b/>
          <w:bCs/>
          <w:sz w:val="28"/>
          <w:szCs w:val="28"/>
        </w:rPr>
      </w:pPr>
      <w:r>
        <w:rPr>
          <w:b/>
          <w:bCs/>
          <w:sz w:val="28"/>
          <w:szCs w:val="28"/>
        </w:rPr>
        <w:t xml:space="preserve">Wilkowice, </w:t>
      </w:r>
      <w:r w:rsidR="0037565C">
        <w:rPr>
          <w:b/>
          <w:bCs/>
          <w:sz w:val="28"/>
          <w:szCs w:val="28"/>
        </w:rPr>
        <w:t xml:space="preserve"> kwiecień</w:t>
      </w:r>
      <w:r>
        <w:rPr>
          <w:b/>
          <w:bCs/>
          <w:sz w:val="28"/>
          <w:szCs w:val="28"/>
        </w:rPr>
        <w:t xml:space="preserve"> 202</w:t>
      </w:r>
      <w:r w:rsidR="0037565C">
        <w:rPr>
          <w:b/>
          <w:bCs/>
          <w:sz w:val="28"/>
          <w:szCs w:val="28"/>
        </w:rPr>
        <w:t>3</w:t>
      </w:r>
      <w:r w:rsidRPr="00402325">
        <w:rPr>
          <w:b/>
          <w:bCs/>
          <w:sz w:val="28"/>
          <w:szCs w:val="28"/>
        </w:rPr>
        <w:t xml:space="preserve"> r.</w:t>
      </w:r>
    </w:p>
    <w:p w14:paraId="581FBBF9" w14:textId="77777777" w:rsidR="00DD2510" w:rsidRPr="003D4D77" w:rsidRDefault="00DD2510" w:rsidP="00AE24D5">
      <w:pPr>
        <w:tabs>
          <w:tab w:val="left" w:pos="426"/>
        </w:tabs>
        <w:spacing w:line="240" w:lineRule="auto"/>
        <w:jc w:val="both"/>
        <w:rPr>
          <w:b/>
          <w:bCs/>
        </w:rPr>
      </w:pPr>
      <w:r w:rsidRPr="003D4D77">
        <w:rPr>
          <w:b/>
          <w:bCs/>
        </w:rPr>
        <w:lastRenderedPageBreak/>
        <w:t>SPIS TREŚCI</w:t>
      </w:r>
    </w:p>
    <w:p w14:paraId="547B2F40" w14:textId="77777777" w:rsidR="00DD2510" w:rsidRPr="00F6537F" w:rsidRDefault="00DD2510" w:rsidP="00AE24D5">
      <w:pPr>
        <w:tabs>
          <w:tab w:val="left" w:pos="426"/>
        </w:tabs>
        <w:spacing w:line="240" w:lineRule="auto"/>
        <w:jc w:val="both"/>
        <w:rPr>
          <w:b/>
          <w:bCs/>
          <w:sz w:val="22"/>
          <w:szCs w:val="22"/>
        </w:rPr>
      </w:pPr>
    </w:p>
    <w:p w14:paraId="26361F83" w14:textId="7904F6DF" w:rsidR="00CB399A" w:rsidRDefault="00DD2510">
      <w:pPr>
        <w:pStyle w:val="Spistreci1"/>
        <w:rPr>
          <w:rFonts w:asciiTheme="minorHAnsi" w:eastAsiaTheme="minorEastAsia" w:hAnsiTheme="minorHAnsi" w:cstheme="minorBidi"/>
          <w:b w:val="0"/>
          <w:bCs w:val="0"/>
          <w:color w:val="auto"/>
          <w:sz w:val="22"/>
          <w:szCs w:val="22"/>
          <w:lang w:eastAsia="pl-PL"/>
        </w:rPr>
      </w:pPr>
      <w:r>
        <w:rPr>
          <w:b w:val="0"/>
          <w:bCs w:val="0"/>
          <w:sz w:val="22"/>
          <w:szCs w:val="22"/>
        </w:rPr>
        <w:fldChar w:fldCharType="begin"/>
      </w:r>
      <w:r>
        <w:rPr>
          <w:b w:val="0"/>
          <w:bCs w:val="0"/>
          <w:sz w:val="22"/>
          <w:szCs w:val="22"/>
        </w:rPr>
        <w:instrText xml:space="preserve"> TOC \o "1-3" \h \z \u </w:instrText>
      </w:r>
      <w:r>
        <w:rPr>
          <w:b w:val="0"/>
          <w:bCs w:val="0"/>
          <w:sz w:val="22"/>
          <w:szCs w:val="22"/>
        </w:rPr>
        <w:fldChar w:fldCharType="separate"/>
      </w:r>
      <w:hyperlink w:anchor="_Toc132708824" w:history="1">
        <w:r w:rsidR="00CB399A" w:rsidRPr="00450829">
          <w:rPr>
            <w:rStyle w:val="Hipercze"/>
          </w:rPr>
          <w:t>1.</w:t>
        </w:r>
        <w:r w:rsidR="00CB399A">
          <w:rPr>
            <w:rFonts w:asciiTheme="minorHAnsi" w:eastAsiaTheme="minorEastAsia" w:hAnsiTheme="minorHAnsi" w:cstheme="minorBidi"/>
            <w:b w:val="0"/>
            <w:bCs w:val="0"/>
            <w:color w:val="auto"/>
            <w:sz w:val="22"/>
            <w:szCs w:val="22"/>
            <w:lang w:eastAsia="pl-PL"/>
          </w:rPr>
          <w:tab/>
        </w:r>
        <w:r w:rsidR="00CB399A" w:rsidRPr="00450829">
          <w:rPr>
            <w:rStyle w:val="Hipercze"/>
          </w:rPr>
          <w:t>WYBRANE INFORMACJE O SAMODZIELNYM PUBLICZNYM ZAKŁADZIE OPIEKI ZDROWOTNEJ.</w:t>
        </w:r>
        <w:r w:rsidR="00CB399A">
          <w:rPr>
            <w:webHidden/>
          </w:rPr>
          <w:tab/>
        </w:r>
        <w:r w:rsidR="00CB399A">
          <w:rPr>
            <w:webHidden/>
          </w:rPr>
          <w:fldChar w:fldCharType="begin"/>
        </w:r>
        <w:r w:rsidR="00CB399A">
          <w:rPr>
            <w:webHidden/>
          </w:rPr>
          <w:instrText xml:space="preserve"> PAGEREF _Toc132708824 \h </w:instrText>
        </w:r>
        <w:r w:rsidR="00CB399A">
          <w:rPr>
            <w:webHidden/>
          </w:rPr>
        </w:r>
        <w:r w:rsidR="00CB399A">
          <w:rPr>
            <w:webHidden/>
          </w:rPr>
          <w:fldChar w:fldCharType="separate"/>
        </w:r>
        <w:r w:rsidR="00CB399A">
          <w:rPr>
            <w:webHidden/>
          </w:rPr>
          <w:t>3</w:t>
        </w:r>
        <w:r w:rsidR="00CB399A">
          <w:rPr>
            <w:webHidden/>
          </w:rPr>
          <w:fldChar w:fldCharType="end"/>
        </w:r>
      </w:hyperlink>
    </w:p>
    <w:p w14:paraId="0563B73D" w14:textId="3C1AE5B5" w:rsidR="00CB399A" w:rsidRDefault="00CB399A">
      <w:pPr>
        <w:pStyle w:val="Spistreci1"/>
        <w:rPr>
          <w:rFonts w:asciiTheme="minorHAnsi" w:eastAsiaTheme="minorEastAsia" w:hAnsiTheme="minorHAnsi" w:cstheme="minorBidi"/>
          <w:b w:val="0"/>
          <w:bCs w:val="0"/>
          <w:color w:val="auto"/>
          <w:sz w:val="22"/>
          <w:szCs w:val="22"/>
          <w:lang w:eastAsia="pl-PL"/>
        </w:rPr>
      </w:pPr>
      <w:hyperlink w:anchor="_Toc132708825" w:history="1">
        <w:r w:rsidRPr="00450829">
          <w:rPr>
            <w:rStyle w:val="Hipercze"/>
          </w:rPr>
          <w:t>2.</w:t>
        </w:r>
        <w:r>
          <w:rPr>
            <w:rFonts w:asciiTheme="minorHAnsi" w:eastAsiaTheme="minorEastAsia" w:hAnsiTheme="minorHAnsi" w:cstheme="minorBidi"/>
            <w:b w:val="0"/>
            <w:bCs w:val="0"/>
            <w:color w:val="auto"/>
            <w:sz w:val="22"/>
            <w:szCs w:val="22"/>
            <w:lang w:eastAsia="pl-PL"/>
          </w:rPr>
          <w:tab/>
        </w:r>
        <w:r w:rsidRPr="00450829">
          <w:rPr>
            <w:rStyle w:val="Hipercze"/>
          </w:rPr>
          <w:t>ANALIZA SYTYUACJI EKONOMICZNO-FINANSOWEJ ZA 2022 ROK</w:t>
        </w:r>
        <w:r>
          <w:rPr>
            <w:webHidden/>
          </w:rPr>
          <w:tab/>
        </w:r>
        <w:r>
          <w:rPr>
            <w:webHidden/>
          </w:rPr>
          <w:fldChar w:fldCharType="begin"/>
        </w:r>
        <w:r>
          <w:rPr>
            <w:webHidden/>
          </w:rPr>
          <w:instrText xml:space="preserve"> PAGEREF _Toc132708825 \h </w:instrText>
        </w:r>
        <w:r>
          <w:rPr>
            <w:webHidden/>
          </w:rPr>
        </w:r>
        <w:r>
          <w:rPr>
            <w:webHidden/>
          </w:rPr>
          <w:fldChar w:fldCharType="separate"/>
        </w:r>
        <w:r>
          <w:rPr>
            <w:webHidden/>
          </w:rPr>
          <w:t>3</w:t>
        </w:r>
        <w:r>
          <w:rPr>
            <w:webHidden/>
          </w:rPr>
          <w:fldChar w:fldCharType="end"/>
        </w:r>
      </w:hyperlink>
    </w:p>
    <w:p w14:paraId="5D79600C" w14:textId="001B8A3C" w:rsidR="00CB399A" w:rsidRDefault="00CB399A">
      <w:pPr>
        <w:pStyle w:val="Spistreci2"/>
        <w:rPr>
          <w:rFonts w:asciiTheme="minorHAnsi" w:eastAsiaTheme="minorEastAsia" w:hAnsiTheme="minorHAnsi" w:cstheme="minorBidi"/>
          <w:noProof/>
          <w:color w:val="auto"/>
          <w:sz w:val="22"/>
          <w:szCs w:val="22"/>
          <w:lang w:eastAsia="pl-PL"/>
        </w:rPr>
      </w:pPr>
      <w:hyperlink w:anchor="_Toc132708826" w:history="1">
        <w:r w:rsidRPr="00450829">
          <w:rPr>
            <w:rStyle w:val="Hipercze"/>
            <w:noProof/>
          </w:rPr>
          <w:t>2.1</w:t>
        </w:r>
        <w:r>
          <w:rPr>
            <w:rFonts w:asciiTheme="minorHAnsi" w:eastAsiaTheme="minorEastAsia" w:hAnsiTheme="minorHAnsi" w:cstheme="minorBidi"/>
            <w:noProof/>
            <w:color w:val="auto"/>
            <w:sz w:val="22"/>
            <w:szCs w:val="22"/>
            <w:lang w:eastAsia="pl-PL"/>
          </w:rPr>
          <w:tab/>
        </w:r>
        <w:r w:rsidRPr="00450829">
          <w:rPr>
            <w:rStyle w:val="Hipercze"/>
            <w:noProof/>
          </w:rPr>
          <w:t>Wskaźniki zyskowności</w:t>
        </w:r>
        <w:r>
          <w:rPr>
            <w:noProof/>
            <w:webHidden/>
          </w:rPr>
          <w:tab/>
        </w:r>
        <w:r>
          <w:rPr>
            <w:noProof/>
            <w:webHidden/>
          </w:rPr>
          <w:fldChar w:fldCharType="begin"/>
        </w:r>
        <w:r>
          <w:rPr>
            <w:noProof/>
            <w:webHidden/>
          </w:rPr>
          <w:instrText xml:space="preserve"> PAGEREF _Toc132708826 \h </w:instrText>
        </w:r>
        <w:r>
          <w:rPr>
            <w:noProof/>
            <w:webHidden/>
          </w:rPr>
        </w:r>
        <w:r>
          <w:rPr>
            <w:noProof/>
            <w:webHidden/>
          </w:rPr>
          <w:fldChar w:fldCharType="separate"/>
        </w:r>
        <w:r>
          <w:rPr>
            <w:noProof/>
            <w:webHidden/>
          </w:rPr>
          <w:t>5</w:t>
        </w:r>
        <w:r>
          <w:rPr>
            <w:noProof/>
            <w:webHidden/>
          </w:rPr>
          <w:fldChar w:fldCharType="end"/>
        </w:r>
      </w:hyperlink>
    </w:p>
    <w:p w14:paraId="146691BE" w14:textId="0F3CF935" w:rsidR="00CB399A" w:rsidRDefault="00CB399A">
      <w:pPr>
        <w:pStyle w:val="Spistreci2"/>
        <w:rPr>
          <w:rFonts w:asciiTheme="minorHAnsi" w:eastAsiaTheme="minorEastAsia" w:hAnsiTheme="minorHAnsi" w:cstheme="minorBidi"/>
          <w:noProof/>
          <w:color w:val="auto"/>
          <w:sz w:val="22"/>
          <w:szCs w:val="22"/>
          <w:lang w:eastAsia="pl-PL"/>
        </w:rPr>
      </w:pPr>
      <w:hyperlink w:anchor="_Toc132708827" w:history="1">
        <w:r w:rsidRPr="00450829">
          <w:rPr>
            <w:rStyle w:val="Hipercze"/>
            <w:noProof/>
          </w:rPr>
          <w:t>2.2</w:t>
        </w:r>
        <w:r>
          <w:rPr>
            <w:rFonts w:asciiTheme="minorHAnsi" w:eastAsiaTheme="minorEastAsia" w:hAnsiTheme="minorHAnsi" w:cstheme="minorBidi"/>
            <w:noProof/>
            <w:color w:val="auto"/>
            <w:sz w:val="22"/>
            <w:szCs w:val="22"/>
            <w:lang w:eastAsia="pl-PL"/>
          </w:rPr>
          <w:tab/>
        </w:r>
        <w:r w:rsidRPr="00450829">
          <w:rPr>
            <w:rStyle w:val="Hipercze"/>
            <w:noProof/>
          </w:rPr>
          <w:t>Wskaźniki płynności</w:t>
        </w:r>
        <w:r>
          <w:rPr>
            <w:noProof/>
            <w:webHidden/>
          </w:rPr>
          <w:tab/>
        </w:r>
        <w:r>
          <w:rPr>
            <w:noProof/>
            <w:webHidden/>
          </w:rPr>
          <w:fldChar w:fldCharType="begin"/>
        </w:r>
        <w:r>
          <w:rPr>
            <w:noProof/>
            <w:webHidden/>
          </w:rPr>
          <w:instrText xml:space="preserve"> PAGEREF _Toc132708827 \h </w:instrText>
        </w:r>
        <w:r>
          <w:rPr>
            <w:noProof/>
            <w:webHidden/>
          </w:rPr>
        </w:r>
        <w:r>
          <w:rPr>
            <w:noProof/>
            <w:webHidden/>
          </w:rPr>
          <w:fldChar w:fldCharType="separate"/>
        </w:r>
        <w:r>
          <w:rPr>
            <w:noProof/>
            <w:webHidden/>
          </w:rPr>
          <w:t>6</w:t>
        </w:r>
        <w:r>
          <w:rPr>
            <w:noProof/>
            <w:webHidden/>
          </w:rPr>
          <w:fldChar w:fldCharType="end"/>
        </w:r>
      </w:hyperlink>
    </w:p>
    <w:p w14:paraId="3DF1D049" w14:textId="0B180793" w:rsidR="00CB399A" w:rsidRDefault="00CB399A">
      <w:pPr>
        <w:pStyle w:val="Spistreci2"/>
        <w:rPr>
          <w:rFonts w:asciiTheme="minorHAnsi" w:eastAsiaTheme="minorEastAsia" w:hAnsiTheme="minorHAnsi" w:cstheme="minorBidi"/>
          <w:noProof/>
          <w:color w:val="auto"/>
          <w:sz w:val="22"/>
          <w:szCs w:val="22"/>
          <w:lang w:eastAsia="pl-PL"/>
        </w:rPr>
      </w:pPr>
      <w:hyperlink w:anchor="_Toc132708828" w:history="1">
        <w:r w:rsidRPr="00450829">
          <w:rPr>
            <w:rStyle w:val="Hipercze"/>
            <w:noProof/>
          </w:rPr>
          <w:t>2.3</w:t>
        </w:r>
        <w:r>
          <w:rPr>
            <w:rFonts w:asciiTheme="minorHAnsi" w:eastAsiaTheme="minorEastAsia" w:hAnsiTheme="minorHAnsi" w:cstheme="minorBidi"/>
            <w:noProof/>
            <w:color w:val="auto"/>
            <w:sz w:val="22"/>
            <w:szCs w:val="22"/>
            <w:lang w:eastAsia="pl-PL"/>
          </w:rPr>
          <w:tab/>
        </w:r>
        <w:r w:rsidRPr="00450829">
          <w:rPr>
            <w:rStyle w:val="Hipercze"/>
            <w:noProof/>
          </w:rPr>
          <w:t>Wskaźnik efektywności</w:t>
        </w:r>
        <w:r>
          <w:rPr>
            <w:noProof/>
            <w:webHidden/>
          </w:rPr>
          <w:tab/>
        </w:r>
        <w:r>
          <w:rPr>
            <w:noProof/>
            <w:webHidden/>
          </w:rPr>
          <w:fldChar w:fldCharType="begin"/>
        </w:r>
        <w:r>
          <w:rPr>
            <w:noProof/>
            <w:webHidden/>
          </w:rPr>
          <w:instrText xml:space="preserve"> PAGEREF _Toc132708828 \h </w:instrText>
        </w:r>
        <w:r>
          <w:rPr>
            <w:noProof/>
            <w:webHidden/>
          </w:rPr>
        </w:r>
        <w:r>
          <w:rPr>
            <w:noProof/>
            <w:webHidden/>
          </w:rPr>
          <w:fldChar w:fldCharType="separate"/>
        </w:r>
        <w:r>
          <w:rPr>
            <w:noProof/>
            <w:webHidden/>
          </w:rPr>
          <w:t>7</w:t>
        </w:r>
        <w:r>
          <w:rPr>
            <w:noProof/>
            <w:webHidden/>
          </w:rPr>
          <w:fldChar w:fldCharType="end"/>
        </w:r>
      </w:hyperlink>
    </w:p>
    <w:p w14:paraId="00D04515" w14:textId="120D49DD" w:rsidR="00CB399A" w:rsidRDefault="00CB399A">
      <w:pPr>
        <w:pStyle w:val="Spistreci2"/>
        <w:rPr>
          <w:rFonts w:asciiTheme="minorHAnsi" w:eastAsiaTheme="minorEastAsia" w:hAnsiTheme="minorHAnsi" w:cstheme="minorBidi"/>
          <w:noProof/>
          <w:color w:val="auto"/>
          <w:sz w:val="22"/>
          <w:szCs w:val="22"/>
          <w:lang w:eastAsia="pl-PL"/>
        </w:rPr>
      </w:pPr>
      <w:hyperlink w:anchor="_Toc132708829" w:history="1">
        <w:r w:rsidRPr="00450829">
          <w:rPr>
            <w:rStyle w:val="Hipercze"/>
            <w:noProof/>
          </w:rPr>
          <w:t>2.4</w:t>
        </w:r>
        <w:r>
          <w:rPr>
            <w:rFonts w:asciiTheme="minorHAnsi" w:eastAsiaTheme="minorEastAsia" w:hAnsiTheme="minorHAnsi" w:cstheme="minorBidi"/>
            <w:noProof/>
            <w:color w:val="auto"/>
            <w:sz w:val="22"/>
            <w:szCs w:val="22"/>
            <w:lang w:eastAsia="pl-PL"/>
          </w:rPr>
          <w:tab/>
        </w:r>
        <w:r w:rsidRPr="00450829">
          <w:rPr>
            <w:rStyle w:val="Hipercze"/>
            <w:noProof/>
          </w:rPr>
          <w:t>Wskaźnik zadłużenia</w:t>
        </w:r>
        <w:r>
          <w:rPr>
            <w:noProof/>
            <w:webHidden/>
          </w:rPr>
          <w:tab/>
        </w:r>
        <w:r>
          <w:rPr>
            <w:noProof/>
            <w:webHidden/>
          </w:rPr>
          <w:fldChar w:fldCharType="begin"/>
        </w:r>
        <w:r>
          <w:rPr>
            <w:noProof/>
            <w:webHidden/>
          </w:rPr>
          <w:instrText xml:space="preserve"> PAGEREF _Toc132708829 \h </w:instrText>
        </w:r>
        <w:r>
          <w:rPr>
            <w:noProof/>
            <w:webHidden/>
          </w:rPr>
        </w:r>
        <w:r>
          <w:rPr>
            <w:noProof/>
            <w:webHidden/>
          </w:rPr>
          <w:fldChar w:fldCharType="separate"/>
        </w:r>
        <w:r>
          <w:rPr>
            <w:noProof/>
            <w:webHidden/>
          </w:rPr>
          <w:t>8</w:t>
        </w:r>
        <w:r>
          <w:rPr>
            <w:noProof/>
            <w:webHidden/>
          </w:rPr>
          <w:fldChar w:fldCharType="end"/>
        </w:r>
      </w:hyperlink>
    </w:p>
    <w:p w14:paraId="50F6F1D2" w14:textId="08841997" w:rsidR="00CB399A" w:rsidRDefault="00CB399A">
      <w:pPr>
        <w:pStyle w:val="Spistreci3"/>
        <w:tabs>
          <w:tab w:val="left" w:pos="1320"/>
          <w:tab w:val="right" w:leader="dot" w:pos="9061"/>
        </w:tabs>
        <w:rPr>
          <w:rFonts w:asciiTheme="minorHAnsi" w:eastAsiaTheme="minorEastAsia" w:hAnsiTheme="minorHAnsi" w:cstheme="minorBidi"/>
          <w:noProof/>
          <w:color w:val="auto"/>
          <w:sz w:val="22"/>
          <w:szCs w:val="22"/>
          <w:lang w:eastAsia="pl-PL"/>
        </w:rPr>
      </w:pPr>
      <w:hyperlink w:anchor="_Toc132708830" w:history="1">
        <w:r w:rsidRPr="00450829">
          <w:rPr>
            <w:rStyle w:val="Hipercze"/>
            <w:noProof/>
          </w:rPr>
          <w:t>2.4.1</w:t>
        </w:r>
        <w:r>
          <w:rPr>
            <w:rFonts w:asciiTheme="minorHAnsi" w:eastAsiaTheme="minorEastAsia" w:hAnsiTheme="minorHAnsi" w:cstheme="minorBidi"/>
            <w:noProof/>
            <w:color w:val="auto"/>
            <w:sz w:val="22"/>
            <w:szCs w:val="22"/>
            <w:lang w:eastAsia="pl-PL"/>
          </w:rPr>
          <w:tab/>
        </w:r>
        <w:r w:rsidRPr="00450829">
          <w:rPr>
            <w:rStyle w:val="Hipercze"/>
            <w:noProof/>
          </w:rPr>
          <w:t>Ocena wskaźnikowa sytuacji ekonomiczno – finansowej samodzielnego publicznego  zakładu  opieki  zdrowotnej  za  2022 r.</w:t>
        </w:r>
        <w:r>
          <w:rPr>
            <w:noProof/>
            <w:webHidden/>
          </w:rPr>
          <w:tab/>
        </w:r>
        <w:r>
          <w:rPr>
            <w:noProof/>
            <w:webHidden/>
          </w:rPr>
          <w:fldChar w:fldCharType="begin"/>
        </w:r>
        <w:r>
          <w:rPr>
            <w:noProof/>
            <w:webHidden/>
          </w:rPr>
          <w:instrText xml:space="preserve"> PAGEREF _Toc132708830 \h </w:instrText>
        </w:r>
        <w:r>
          <w:rPr>
            <w:noProof/>
            <w:webHidden/>
          </w:rPr>
        </w:r>
        <w:r>
          <w:rPr>
            <w:noProof/>
            <w:webHidden/>
          </w:rPr>
          <w:fldChar w:fldCharType="separate"/>
        </w:r>
        <w:r>
          <w:rPr>
            <w:noProof/>
            <w:webHidden/>
          </w:rPr>
          <w:t>9</w:t>
        </w:r>
        <w:r>
          <w:rPr>
            <w:noProof/>
            <w:webHidden/>
          </w:rPr>
          <w:fldChar w:fldCharType="end"/>
        </w:r>
      </w:hyperlink>
    </w:p>
    <w:p w14:paraId="2CA7F22A" w14:textId="7695DD88" w:rsidR="00CB399A" w:rsidRDefault="00CB399A">
      <w:pPr>
        <w:pStyle w:val="Spistreci3"/>
        <w:tabs>
          <w:tab w:val="left" w:pos="1320"/>
          <w:tab w:val="right" w:leader="dot" w:pos="9061"/>
        </w:tabs>
        <w:rPr>
          <w:rFonts w:asciiTheme="minorHAnsi" w:eastAsiaTheme="minorEastAsia" w:hAnsiTheme="minorHAnsi" w:cstheme="minorBidi"/>
          <w:noProof/>
          <w:color w:val="auto"/>
          <w:sz w:val="22"/>
          <w:szCs w:val="22"/>
          <w:lang w:eastAsia="pl-PL"/>
        </w:rPr>
      </w:pPr>
      <w:hyperlink w:anchor="_Toc132708831" w:history="1">
        <w:r w:rsidRPr="00450829">
          <w:rPr>
            <w:rStyle w:val="Hipercze"/>
            <w:noProof/>
          </w:rPr>
          <w:t>2.4.2</w:t>
        </w:r>
        <w:r>
          <w:rPr>
            <w:rFonts w:asciiTheme="minorHAnsi" w:eastAsiaTheme="minorEastAsia" w:hAnsiTheme="minorHAnsi" w:cstheme="minorBidi"/>
            <w:noProof/>
            <w:color w:val="auto"/>
            <w:sz w:val="22"/>
            <w:szCs w:val="22"/>
            <w:lang w:eastAsia="pl-PL"/>
          </w:rPr>
          <w:tab/>
        </w:r>
        <w:r w:rsidRPr="00450829">
          <w:rPr>
            <w:rStyle w:val="Hipercze"/>
            <w:noProof/>
          </w:rPr>
          <w:t>Podsumowanie  analizy  sytuacji ekonomiczno – finansowej podmiotu leczniczego  za  2022 r.</w:t>
        </w:r>
        <w:r>
          <w:rPr>
            <w:noProof/>
            <w:webHidden/>
          </w:rPr>
          <w:tab/>
        </w:r>
        <w:r>
          <w:rPr>
            <w:noProof/>
            <w:webHidden/>
          </w:rPr>
          <w:fldChar w:fldCharType="begin"/>
        </w:r>
        <w:r>
          <w:rPr>
            <w:noProof/>
            <w:webHidden/>
          </w:rPr>
          <w:instrText xml:space="preserve"> PAGEREF _Toc132708831 \h </w:instrText>
        </w:r>
        <w:r>
          <w:rPr>
            <w:noProof/>
            <w:webHidden/>
          </w:rPr>
        </w:r>
        <w:r>
          <w:rPr>
            <w:noProof/>
            <w:webHidden/>
          </w:rPr>
          <w:fldChar w:fldCharType="separate"/>
        </w:r>
        <w:r>
          <w:rPr>
            <w:noProof/>
            <w:webHidden/>
          </w:rPr>
          <w:t>9</w:t>
        </w:r>
        <w:r>
          <w:rPr>
            <w:noProof/>
            <w:webHidden/>
          </w:rPr>
          <w:fldChar w:fldCharType="end"/>
        </w:r>
      </w:hyperlink>
    </w:p>
    <w:p w14:paraId="4201F147" w14:textId="5B95BBDD" w:rsidR="00CB399A" w:rsidRDefault="00CB399A">
      <w:pPr>
        <w:pStyle w:val="Spistreci1"/>
        <w:rPr>
          <w:rFonts w:asciiTheme="minorHAnsi" w:eastAsiaTheme="minorEastAsia" w:hAnsiTheme="minorHAnsi" w:cstheme="minorBidi"/>
          <w:b w:val="0"/>
          <w:bCs w:val="0"/>
          <w:color w:val="auto"/>
          <w:sz w:val="22"/>
          <w:szCs w:val="22"/>
          <w:lang w:eastAsia="pl-PL"/>
        </w:rPr>
      </w:pPr>
      <w:hyperlink w:anchor="_Toc132708832" w:history="1">
        <w:r w:rsidRPr="00450829">
          <w:rPr>
            <w:rStyle w:val="Hipercze"/>
          </w:rPr>
          <w:t>3.</w:t>
        </w:r>
        <w:r>
          <w:rPr>
            <w:rFonts w:asciiTheme="minorHAnsi" w:eastAsiaTheme="minorEastAsia" w:hAnsiTheme="minorHAnsi" w:cstheme="minorBidi"/>
            <w:b w:val="0"/>
            <w:bCs w:val="0"/>
            <w:color w:val="auto"/>
            <w:sz w:val="22"/>
            <w:szCs w:val="22"/>
            <w:lang w:eastAsia="pl-PL"/>
          </w:rPr>
          <w:tab/>
        </w:r>
        <w:r w:rsidRPr="00450829">
          <w:rPr>
            <w:rStyle w:val="Hipercze"/>
          </w:rPr>
          <w:t>PROGNOZA SYTUACJI EKONOMICZNO-FINANSOWEJ NA KOLEJNE TRZY LATA OBROTOWE ( 2023, 2024, 2025) WRAZ Z OPISEM PRZYJĘTYCH ZAŁOŻEŃ</w:t>
        </w:r>
        <w:r>
          <w:rPr>
            <w:webHidden/>
          </w:rPr>
          <w:tab/>
        </w:r>
        <w:r>
          <w:rPr>
            <w:webHidden/>
          </w:rPr>
          <w:fldChar w:fldCharType="begin"/>
        </w:r>
        <w:r>
          <w:rPr>
            <w:webHidden/>
          </w:rPr>
          <w:instrText xml:space="preserve"> PAGEREF _Toc132708832 \h </w:instrText>
        </w:r>
        <w:r>
          <w:rPr>
            <w:webHidden/>
          </w:rPr>
        </w:r>
        <w:r>
          <w:rPr>
            <w:webHidden/>
          </w:rPr>
          <w:fldChar w:fldCharType="separate"/>
        </w:r>
        <w:r>
          <w:rPr>
            <w:webHidden/>
          </w:rPr>
          <w:t>10</w:t>
        </w:r>
        <w:r>
          <w:rPr>
            <w:webHidden/>
          </w:rPr>
          <w:fldChar w:fldCharType="end"/>
        </w:r>
      </w:hyperlink>
    </w:p>
    <w:p w14:paraId="5F91F739" w14:textId="2E21F09D" w:rsidR="00CB399A" w:rsidRDefault="00CB399A">
      <w:pPr>
        <w:pStyle w:val="Spistreci2"/>
        <w:rPr>
          <w:rFonts w:asciiTheme="minorHAnsi" w:eastAsiaTheme="minorEastAsia" w:hAnsiTheme="minorHAnsi" w:cstheme="minorBidi"/>
          <w:noProof/>
          <w:color w:val="auto"/>
          <w:sz w:val="22"/>
          <w:szCs w:val="22"/>
          <w:lang w:eastAsia="pl-PL"/>
        </w:rPr>
      </w:pPr>
      <w:hyperlink w:anchor="_Toc132708833" w:history="1">
        <w:r w:rsidRPr="00450829">
          <w:rPr>
            <w:rStyle w:val="Hipercze"/>
            <w:noProof/>
          </w:rPr>
          <w:t>3.1</w:t>
        </w:r>
        <w:r>
          <w:rPr>
            <w:rFonts w:asciiTheme="minorHAnsi" w:eastAsiaTheme="minorEastAsia" w:hAnsiTheme="minorHAnsi" w:cstheme="minorBidi"/>
            <w:noProof/>
            <w:color w:val="auto"/>
            <w:sz w:val="22"/>
            <w:szCs w:val="22"/>
            <w:lang w:eastAsia="pl-PL"/>
          </w:rPr>
          <w:tab/>
        </w:r>
        <w:r w:rsidRPr="00450829">
          <w:rPr>
            <w:rStyle w:val="Hipercze"/>
            <w:noProof/>
          </w:rPr>
          <w:t>Opis  przyjętych  założeń  makroekonomicznych  i  mikroekonomicznych                                      z  uwzględnieniem  ich  wpływu  na  projekcję  dotyczącą  sprawozdań  finansowych w  latach  objętych  prognozą</w:t>
        </w:r>
        <w:r>
          <w:rPr>
            <w:noProof/>
            <w:webHidden/>
          </w:rPr>
          <w:tab/>
        </w:r>
        <w:r>
          <w:rPr>
            <w:noProof/>
            <w:webHidden/>
          </w:rPr>
          <w:fldChar w:fldCharType="begin"/>
        </w:r>
        <w:r>
          <w:rPr>
            <w:noProof/>
            <w:webHidden/>
          </w:rPr>
          <w:instrText xml:space="preserve"> PAGEREF _Toc132708833 \h </w:instrText>
        </w:r>
        <w:r>
          <w:rPr>
            <w:noProof/>
            <w:webHidden/>
          </w:rPr>
        </w:r>
        <w:r>
          <w:rPr>
            <w:noProof/>
            <w:webHidden/>
          </w:rPr>
          <w:fldChar w:fldCharType="separate"/>
        </w:r>
        <w:r>
          <w:rPr>
            <w:noProof/>
            <w:webHidden/>
          </w:rPr>
          <w:t>10</w:t>
        </w:r>
        <w:r>
          <w:rPr>
            <w:noProof/>
            <w:webHidden/>
          </w:rPr>
          <w:fldChar w:fldCharType="end"/>
        </w:r>
      </w:hyperlink>
    </w:p>
    <w:p w14:paraId="7DC63C04" w14:textId="2D6441BE" w:rsidR="00CB399A" w:rsidRDefault="00CB399A">
      <w:pPr>
        <w:pStyle w:val="Spistreci2"/>
        <w:rPr>
          <w:rFonts w:asciiTheme="minorHAnsi" w:eastAsiaTheme="minorEastAsia" w:hAnsiTheme="minorHAnsi" w:cstheme="minorBidi"/>
          <w:noProof/>
          <w:color w:val="auto"/>
          <w:sz w:val="22"/>
          <w:szCs w:val="22"/>
          <w:lang w:eastAsia="pl-PL"/>
        </w:rPr>
      </w:pPr>
      <w:hyperlink w:anchor="_Toc132708834" w:history="1">
        <w:r w:rsidRPr="00450829">
          <w:rPr>
            <w:rStyle w:val="Hipercze"/>
            <w:noProof/>
          </w:rPr>
          <w:t>3.2</w:t>
        </w:r>
        <w:r>
          <w:rPr>
            <w:rFonts w:asciiTheme="minorHAnsi" w:eastAsiaTheme="minorEastAsia" w:hAnsiTheme="minorHAnsi" w:cstheme="minorBidi"/>
            <w:noProof/>
            <w:color w:val="auto"/>
            <w:sz w:val="22"/>
            <w:szCs w:val="22"/>
            <w:lang w:eastAsia="pl-PL"/>
          </w:rPr>
          <w:tab/>
        </w:r>
        <w:r w:rsidRPr="00450829">
          <w:rPr>
            <w:rStyle w:val="Hipercze"/>
            <w:noProof/>
          </w:rPr>
          <w:t>Prognoza zysku i strat za lata 2023, 2024 i 2025:</w:t>
        </w:r>
        <w:r>
          <w:rPr>
            <w:noProof/>
            <w:webHidden/>
          </w:rPr>
          <w:tab/>
        </w:r>
        <w:r>
          <w:rPr>
            <w:noProof/>
            <w:webHidden/>
          </w:rPr>
          <w:fldChar w:fldCharType="begin"/>
        </w:r>
        <w:r>
          <w:rPr>
            <w:noProof/>
            <w:webHidden/>
          </w:rPr>
          <w:instrText xml:space="preserve"> PAGEREF _Toc132708834 \h </w:instrText>
        </w:r>
        <w:r>
          <w:rPr>
            <w:noProof/>
            <w:webHidden/>
          </w:rPr>
        </w:r>
        <w:r>
          <w:rPr>
            <w:noProof/>
            <w:webHidden/>
          </w:rPr>
          <w:fldChar w:fldCharType="separate"/>
        </w:r>
        <w:r>
          <w:rPr>
            <w:noProof/>
            <w:webHidden/>
          </w:rPr>
          <w:t>12</w:t>
        </w:r>
        <w:r>
          <w:rPr>
            <w:noProof/>
            <w:webHidden/>
          </w:rPr>
          <w:fldChar w:fldCharType="end"/>
        </w:r>
      </w:hyperlink>
    </w:p>
    <w:p w14:paraId="38F95E63" w14:textId="650C666A" w:rsidR="00CB399A" w:rsidRDefault="00CB399A">
      <w:pPr>
        <w:pStyle w:val="Spistreci2"/>
        <w:rPr>
          <w:rFonts w:asciiTheme="minorHAnsi" w:eastAsiaTheme="minorEastAsia" w:hAnsiTheme="minorHAnsi" w:cstheme="minorBidi"/>
          <w:noProof/>
          <w:color w:val="auto"/>
          <w:sz w:val="22"/>
          <w:szCs w:val="22"/>
          <w:lang w:eastAsia="pl-PL"/>
        </w:rPr>
      </w:pPr>
      <w:hyperlink w:anchor="_Toc132708835" w:history="1">
        <w:r w:rsidRPr="00450829">
          <w:rPr>
            <w:rStyle w:val="Hipercze"/>
            <w:noProof/>
          </w:rPr>
          <w:t>3.3</w:t>
        </w:r>
        <w:r>
          <w:rPr>
            <w:rFonts w:asciiTheme="minorHAnsi" w:eastAsiaTheme="minorEastAsia" w:hAnsiTheme="minorHAnsi" w:cstheme="minorBidi"/>
            <w:noProof/>
            <w:color w:val="auto"/>
            <w:sz w:val="22"/>
            <w:szCs w:val="22"/>
            <w:lang w:eastAsia="pl-PL"/>
          </w:rPr>
          <w:tab/>
        </w:r>
        <w:r w:rsidRPr="00450829">
          <w:rPr>
            <w:rStyle w:val="Hipercze"/>
            <w:noProof/>
          </w:rPr>
          <w:t>Prognoza bilansu za lata 2023, 2024, 2025.</w:t>
        </w:r>
        <w:r>
          <w:rPr>
            <w:noProof/>
            <w:webHidden/>
          </w:rPr>
          <w:tab/>
        </w:r>
        <w:r>
          <w:rPr>
            <w:noProof/>
            <w:webHidden/>
          </w:rPr>
          <w:fldChar w:fldCharType="begin"/>
        </w:r>
        <w:r>
          <w:rPr>
            <w:noProof/>
            <w:webHidden/>
          </w:rPr>
          <w:instrText xml:space="preserve"> PAGEREF _Toc132708835 \h </w:instrText>
        </w:r>
        <w:r>
          <w:rPr>
            <w:noProof/>
            <w:webHidden/>
          </w:rPr>
        </w:r>
        <w:r>
          <w:rPr>
            <w:noProof/>
            <w:webHidden/>
          </w:rPr>
          <w:fldChar w:fldCharType="separate"/>
        </w:r>
        <w:r>
          <w:rPr>
            <w:noProof/>
            <w:webHidden/>
          </w:rPr>
          <w:t>16</w:t>
        </w:r>
        <w:r>
          <w:rPr>
            <w:noProof/>
            <w:webHidden/>
          </w:rPr>
          <w:fldChar w:fldCharType="end"/>
        </w:r>
      </w:hyperlink>
    </w:p>
    <w:p w14:paraId="51A6DC66" w14:textId="3A3AD852" w:rsidR="00CB399A" w:rsidRDefault="00CB399A">
      <w:pPr>
        <w:pStyle w:val="Spistreci3"/>
        <w:tabs>
          <w:tab w:val="left" w:pos="1320"/>
          <w:tab w:val="right" w:leader="dot" w:pos="9061"/>
        </w:tabs>
        <w:rPr>
          <w:rFonts w:asciiTheme="minorHAnsi" w:eastAsiaTheme="minorEastAsia" w:hAnsiTheme="minorHAnsi" w:cstheme="minorBidi"/>
          <w:noProof/>
          <w:color w:val="auto"/>
          <w:sz w:val="22"/>
          <w:szCs w:val="22"/>
          <w:lang w:eastAsia="pl-PL"/>
        </w:rPr>
      </w:pPr>
      <w:hyperlink w:anchor="_Toc132708836" w:history="1">
        <w:r w:rsidRPr="00450829">
          <w:rPr>
            <w:rStyle w:val="Hipercze"/>
            <w:noProof/>
          </w:rPr>
          <w:t>3.3.1</w:t>
        </w:r>
        <w:r>
          <w:rPr>
            <w:rFonts w:asciiTheme="minorHAnsi" w:eastAsiaTheme="minorEastAsia" w:hAnsiTheme="minorHAnsi" w:cstheme="minorBidi"/>
            <w:noProof/>
            <w:color w:val="auto"/>
            <w:sz w:val="22"/>
            <w:szCs w:val="22"/>
            <w:lang w:eastAsia="pl-PL"/>
          </w:rPr>
          <w:tab/>
        </w:r>
        <w:r w:rsidRPr="00450829">
          <w:rPr>
            <w:rStyle w:val="Hipercze"/>
            <w:noProof/>
          </w:rPr>
          <w:t>Prognoza kształtowania się wielkości zobowiązań wymagalnych za lata 2023, 2024 i 2025.</w:t>
        </w:r>
        <w:r>
          <w:rPr>
            <w:noProof/>
            <w:webHidden/>
          </w:rPr>
          <w:tab/>
        </w:r>
        <w:r>
          <w:rPr>
            <w:noProof/>
            <w:webHidden/>
          </w:rPr>
          <w:fldChar w:fldCharType="begin"/>
        </w:r>
        <w:r>
          <w:rPr>
            <w:noProof/>
            <w:webHidden/>
          </w:rPr>
          <w:instrText xml:space="preserve"> PAGEREF _Toc132708836 \h </w:instrText>
        </w:r>
        <w:r>
          <w:rPr>
            <w:noProof/>
            <w:webHidden/>
          </w:rPr>
        </w:r>
        <w:r>
          <w:rPr>
            <w:noProof/>
            <w:webHidden/>
          </w:rPr>
          <w:fldChar w:fldCharType="separate"/>
        </w:r>
        <w:r>
          <w:rPr>
            <w:noProof/>
            <w:webHidden/>
          </w:rPr>
          <w:t>23</w:t>
        </w:r>
        <w:r>
          <w:rPr>
            <w:noProof/>
            <w:webHidden/>
          </w:rPr>
          <w:fldChar w:fldCharType="end"/>
        </w:r>
      </w:hyperlink>
    </w:p>
    <w:p w14:paraId="09620621" w14:textId="0062271E" w:rsidR="00CB399A" w:rsidRDefault="00CB399A">
      <w:pPr>
        <w:pStyle w:val="Spistreci2"/>
        <w:rPr>
          <w:rFonts w:asciiTheme="minorHAnsi" w:eastAsiaTheme="minorEastAsia" w:hAnsiTheme="minorHAnsi" w:cstheme="minorBidi"/>
          <w:noProof/>
          <w:color w:val="auto"/>
          <w:sz w:val="22"/>
          <w:szCs w:val="22"/>
          <w:lang w:eastAsia="pl-PL"/>
        </w:rPr>
      </w:pPr>
      <w:hyperlink w:anchor="_Toc132708837" w:history="1">
        <w:r w:rsidRPr="00450829">
          <w:rPr>
            <w:rStyle w:val="Hipercze"/>
            <w:noProof/>
          </w:rPr>
          <w:t>3.4</w:t>
        </w:r>
        <w:r>
          <w:rPr>
            <w:rFonts w:asciiTheme="minorHAnsi" w:eastAsiaTheme="minorEastAsia" w:hAnsiTheme="minorHAnsi" w:cstheme="minorBidi"/>
            <w:noProof/>
            <w:color w:val="auto"/>
            <w:sz w:val="22"/>
            <w:szCs w:val="22"/>
            <w:lang w:eastAsia="pl-PL"/>
          </w:rPr>
          <w:tab/>
        </w:r>
        <w:r w:rsidRPr="00450829">
          <w:rPr>
            <w:rStyle w:val="Hipercze"/>
            <w:noProof/>
          </w:rPr>
          <w:t>Prognoza wartości wskaźników ekonomiczno – finansowych wraz z podsumowaniem wyników prognozy wskaźnikowej projekcji sytuacji ekonomiczno-finansowej na lata 2023, 2024 i 2025</w:t>
        </w:r>
        <w:r>
          <w:rPr>
            <w:noProof/>
            <w:webHidden/>
          </w:rPr>
          <w:tab/>
        </w:r>
        <w:r>
          <w:rPr>
            <w:noProof/>
            <w:webHidden/>
          </w:rPr>
          <w:fldChar w:fldCharType="begin"/>
        </w:r>
        <w:r>
          <w:rPr>
            <w:noProof/>
            <w:webHidden/>
          </w:rPr>
          <w:instrText xml:space="preserve"> PAGEREF _Toc132708837 \h </w:instrText>
        </w:r>
        <w:r>
          <w:rPr>
            <w:noProof/>
            <w:webHidden/>
          </w:rPr>
        </w:r>
        <w:r>
          <w:rPr>
            <w:noProof/>
            <w:webHidden/>
          </w:rPr>
          <w:fldChar w:fldCharType="separate"/>
        </w:r>
        <w:r>
          <w:rPr>
            <w:noProof/>
            <w:webHidden/>
          </w:rPr>
          <w:t>24</w:t>
        </w:r>
        <w:r>
          <w:rPr>
            <w:noProof/>
            <w:webHidden/>
          </w:rPr>
          <w:fldChar w:fldCharType="end"/>
        </w:r>
      </w:hyperlink>
    </w:p>
    <w:p w14:paraId="1091E7FF" w14:textId="46715294" w:rsidR="00CB399A" w:rsidRDefault="00CB399A">
      <w:pPr>
        <w:pStyle w:val="Spistreci2"/>
        <w:rPr>
          <w:rFonts w:asciiTheme="minorHAnsi" w:eastAsiaTheme="minorEastAsia" w:hAnsiTheme="minorHAnsi" w:cstheme="minorBidi"/>
          <w:noProof/>
          <w:color w:val="auto"/>
          <w:sz w:val="22"/>
          <w:szCs w:val="22"/>
          <w:lang w:eastAsia="pl-PL"/>
        </w:rPr>
      </w:pPr>
      <w:hyperlink w:anchor="_Toc132708838" w:history="1">
        <w:r w:rsidRPr="00450829">
          <w:rPr>
            <w:rStyle w:val="Hipercze"/>
            <w:noProof/>
          </w:rPr>
          <w:t>3.5</w:t>
        </w:r>
        <w:r>
          <w:rPr>
            <w:rFonts w:asciiTheme="minorHAnsi" w:eastAsiaTheme="minorEastAsia" w:hAnsiTheme="minorHAnsi" w:cstheme="minorBidi"/>
            <w:noProof/>
            <w:color w:val="auto"/>
            <w:sz w:val="22"/>
            <w:szCs w:val="22"/>
            <w:lang w:eastAsia="pl-PL"/>
          </w:rPr>
          <w:tab/>
        </w:r>
        <w:r w:rsidRPr="00450829">
          <w:rPr>
            <w:rStyle w:val="Hipercze"/>
            <w:noProof/>
          </w:rPr>
          <w:t>Podsumowanie prognozy</w:t>
        </w:r>
        <w:r>
          <w:rPr>
            <w:noProof/>
            <w:webHidden/>
          </w:rPr>
          <w:tab/>
        </w:r>
        <w:r>
          <w:rPr>
            <w:noProof/>
            <w:webHidden/>
          </w:rPr>
          <w:fldChar w:fldCharType="begin"/>
        </w:r>
        <w:r>
          <w:rPr>
            <w:noProof/>
            <w:webHidden/>
          </w:rPr>
          <w:instrText xml:space="preserve"> PAGEREF _Toc132708838 \h </w:instrText>
        </w:r>
        <w:r>
          <w:rPr>
            <w:noProof/>
            <w:webHidden/>
          </w:rPr>
        </w:r>
        <w:r>
          <w:rPr>
            <w:noProof/>
            <w:webHidden/>
          </w:rPr>
          <w:fldChar w:fldCharType="separate"/>
        </w:r>
        <w:r>
          <w:rPr>
            <w:noProof/>
            <w:webHidden/>
          </w:rPr>
          <w:t>25</w:t>
        </w:r>
        <w:r>
          <w:rPr>
            <w:noProof/>
            <w:webHidden/>
          </w:rPr>
          <w:fldChar w:fldCharType="end"/>
        </w:r>
      </w:hyperlink>
    </w:p>
    <w:p w14:paraId="487DEA78" w14:textId="4E58D337" w:rsidR="00CB399A" w:rsidRDefault="00CB399A">
      <w:pPr>
        <w:pStyle w:val="Spistreci1"/>
        <w:rPr>
          <w:rFonts w:asciiTheme="minorHAnsi" w:eastAsiaTheme="minorEastAsia" w:hAnsiTheme="minorHAnsi" w:cstheme="minorBidi"/>
          <w:b w:val="0"/>
          <w:bCs w:val="0"/>
          <w:color w:val="auto"/>
          <w:sz w:val="22"/>
          <w:szCs w:val="22"/>
          <w:lang w:eastAsia="pl-PL"/>
        </w:rPr>
      </w:pPr>
      <w:hyperlink w:anchor="_Toc132708839" w:history="1">
        <w:r w:rsidRPr="00450829">
          <w:rPr>
            <w:rStyle w:val="Hipercze"/>
          </w:rPr>
          <w:t>4.</w:t>
        </w:r>
        <w:r>
          <w:rPr>
            <w:rFonts w:asciiTheme="minorHAnsi" w:eastAsiaTheme="minorEastAsia" w:hAnsiTheme="minorHAnsi" w:cstheme="minorBidi"/>
            <w:b w:val="0"/>
            <w:bCs w:val="0"/>
            <w:color w:val="auto"/>
            <w:sz w:val="22"/>
            <w:szCs w:val="22"/>
            <w:lang w:eastAsia="pl-PL"/>
          </w:rPr>
          <w:tab/>
        </w:r>
        <w:r w:rsidRPr="00450829">
          <w:rPr>
            <w:rStyle w:val="Hipercze"/>
          </w:rPr>
          <w:t>INFORMACJA O ISTOTNYCH ZDARZENIACH MAJĄCYCH WPŁYW NA SYTUACJĘ EKONOMICZNO – FINANSOWĄ SAMODZIELNEGO PUBLICZNEGO  ZAKŁADU  OPIEKI  ZDROWOTNEJ</w:t>
        </w:r>
        <w:r>
          <w:rPr>
            <w:webHidden/>
          </w:rPr>
          <w:tab/>
        </w:r>
        <w:r>
          <w:rPr>
            <w:webHidden/>
          </w:rPr>
          <w:fldChar w:fldCharType="begin"/>
        </w:r>
        <w:r>
          <w:rPr>
            <w:webHidden/>
          </w:rPr>
          <w:instrText xml:space="preserve"> PAGEREF _Toc132708839 \h </w:instrText>
        </w:r>
        <w:r>
          <w:rPr>
            <w:webHidden/>
          </w:rPr>
        </w:r>
        <w:r>
          <w:rPr>
            <w:webHidden/>
          </w:rPr>
          <w:fldChar w:fldCharType="separate"/>
        </w:r>
        <w:r>
          <w:rPr>
            <w:webHidden/>
          </w:rPr>
          <w:t>27</w:t>
        </w:r>
        <w:r>
          <w:rPr>
            <w:webHidden/>
          </w:rPr>
          <w:fldChar w:fldCharType="end"/>
        </w:r>
      </w:hyperlink>
    </w:p>
    <w:p w14:paraId="2198C65A" w14:textId="25FDA3EB" w:rsidR="00CB399A" w:rsidRDefault="00CB399A">
      <w:pPr>
        <w:pStyle w:val="Spistreci2"/>
        <w:rPr>
          <w:rFonts w:asciiTheme="minorHAnsi" w:eastAsiaTheme="minorEastAsia" w:hAnsiTheme="minorHAnsi" w:cstheme="minorBidi"/>
          <w:noProof/>
          <w:color w:val="auto"/>
          <w:sz w:val="22"/>
          <w:szCs w:val="22"/>
          <w:lang w:eastAsia="pl-PL"/>
        </w:rPr>
      </w:pPr>
      <w:hyperlink w:anchor="_Toc132708840" w:history="1">
        <w:r w:rsidRPr="00450829">
          <w:rPr>
            <w:rStyle w:val="Hipercze"/>
            <w:noProof/>
          </w:rPr>
          <w:t>4.1</w:t>
        </w:r>
        <w:r>
          <w:rPr>
            <w:rFonts w:asciiTheme="minorHAnsi" w:eastAsiaTheme="minorEastAsia" w:hAnsiTheme="minorHAnsi" w:cstheme="minorBidi"/>
            <w:noProof/>
            <w:color w:val="auto"/>
            <w:sz w:val="22"/>
            <w:szCs w:val="22"/>
            <w:lang w:eastAsia="pl-PL"/>
          </w:rPr>
          <w:tab/>
        </w:r>
        <w:r w:rsidRPr="00450829">
          <w:rPr>
            <w:rStyle w:val="Hipercze"/>
            <w:noProof/>
          </w:rPr>
          <w:t>Krótka charakterystyka struktury organizacyjnej</w:t>
        </w:r>
        <w:r>
          <w:rPr>
            <w:noProof/>
            <w:webHidden/>
          </w:rPr>
          <w:tab/>
        </w:r>
        <w:r>
          <w:rPr>
            <w:noProof/>
            <w:webHidden/>
          </w:rPr>
          <w:fldChar w:fldCharType="begin"/>
        </w:r>
        <w:r>
          <w:rPr>
            <w:noProof/>
            <w:webHidden/>
          </w:rPr>
          <w:instrText xml:space="preserve"> PAGEREF _Toc132708840 \h </w:instrText>
        </w:r>
        <w:r>
          <w:rPr>
            <w:noProof/>
            <w:webHidden/>
          </w:rPr>
        </w:r>
        <w:r>
          <w:rPr>
            <w:noProof/>
            <w:webHidden/>
          </w:rPr>
          <w:fldChar w:fldCharType="separate"/>
        </w:r>
        <w:r>
          <w:rPr>
            <w:noProof/>
            <w:webHidden/>
          </w:rPr>
          <w:t>27</w:t>
        </w:r>
        <w:r>
          <w:rPr>
            <w:noProof/>
            <w:webHidden/>
          </w:rPr>
          <w:fldChar w:fldCharType="end"/>
        </w:r>
      </w:hyperlink>
    </w:p>
    <w:p w14:paraId="7CFE2C7B" w14:textId="552D5AFF" w:rsidR="00CB399A" w:rsidRDefault="00CB399A">
      <w:pPr>
        <w:pStyle w:val="Spistreci2"/>
        <w:rPr>
          <w:rFonts w:asciiTheme="minorHAnsi" w:eastAsiaTheme="minorEastAsia" w:hAnsiTheme="minorHAnsi" w:cstheme="minorBidi"/>
          <w:noProof/>
          <w:color w:val="auto"/>
          <w:sz w:val="22"/>
          <w:szCs w:val="22"/>
          <w:lang w:eastAsia="pl-PL"/>
        </w:rPr>
      </w:pPr>
      <w:hyperlink w:anchor="_Toc132708841" w:history="1">
        <w:r w:rsidRPr="00450829">
          <w:rPr>
            <w:rStyle w:val="Hipercze"/>
            <w:noProof/>
          </w:rPr>
          <w:t>4.2</w:t>
        </w:r>
        <w:r>
          <w:rPr>
            <w:rFonts w:asciiTheme="minorHAnsi" w:eastAsiaTheme="minorEastAsia" w:hAnsiTheme="minorHAnsi" w:cstheme="minorBidi"/>
            <w:noProof/>
            <w:color w:val="auto"/>
            <w:sz w:val="22"/>
            <w:szCs w:val="22"/>
            <w:lang w:eastAsia="pl-PL"/>
          </w:rPr>
          <w:tab/>
        </w:r>
        <w:r w:rsidRPr="00450829">
          <w:rPr>
            <w:rStyle w:val="Hipercze"/>
            <w:noProof/>
          </w:rPr>
          <w:t>Regulacje płacowe</w:t>
        </w:r>
        <w:r>
          <w:rPr>
            <w:noProof/>
            <w:webHidden/>
          </w:rPr>
          <w:tab/>
        </w:r>
        <w:r>
          <w:rPr>
            <w:noProof/>
            <w:webHidden/>
          </w:rPr>
          <w:fldChar w:fldCharType="begin"/>
        </w:r>
        <w:r>
          <w:rPr>
            <w:noProof/>
            <w:webHidden/>
          </w:rPr>
          <w:instrText xml:space="preserve"> PAGEREF _Toc132708841 \h </w:instrText>
        </w:r>
        <w:r>
          <w:rPr>
            <w:noProof/>
            <w:webHidden/>
          </w:rPr>
        </w:r>
        <w:r>
          <w:rPr>
            <w:noProof/>
            <w:webHidden/>
          </w:rPr>
          <w:fldChar w:fldCharType="separate"/>
        </w:r>
        <w:r>
          <w:rPr>
            <w:noProof/>
            <w:webHidden/>
          </w:rPr>
          <w:t>29</w:t>
        </w:r>
        <w:r>
          <w:rPr>
            <w:noProof/>
            <w:webHidden/>
          </w:rPr>
          <w:fldChar w:fldCharType="end"/>
        </w:r>
      </w:hyperlink>
    </w:p>
    <w:p w14:paraId="3DFD56F5" w14:textId="58B9C04C" w:rsidR="00CB399A" w:rsidRDefault="00CB399A">
      <w:pPr>
        <w:pStyle w:val="Spistreci2"/>
        <w:rPr>
          <w:rFonts w:asciiTheme="minorHAnsi" w:eastAsiaTheme="minorEastAsia" w:hAnsiTheme="minorHAnsi" w:cstheme="minorBidi"/>
          <w:noProof/>
          <w:color w:val="auto"/>
          <w:sz w:val="22"/>
          <w:szCs w:val="22"/>
          <w:lang w:eastAsia="pl-PL"/>
        </w:rPr>
      </w:pPr>
      <w:hyperlink w:anchor="_Toc132708842" w:history="1">
        <w:r w:rsidRPr="00450829">
          <w:rPr>
            <w:rStyle w:val="Hipercze"/>
            <w:noProof/>
          </w:rPr>
          <w:t>4.3</w:t>
        </w:r>
        <w:r>
          <w:rPr>
            <w:rFonts w:asciiTheme="minorHAnsi" w:eastAsiaTheme="minorEastAsia" w:hAnsiTheme="minorHAnsi" w:cstheme="minorBidi"/>
            <w:noProof/>
            <w:color w:val="auto"/>
            <w:sz w:val="22"/>
            <w:szCs w:val="22"/>
            <w:lang w:eastAsia="pl-PL"/>
          </w:rPr>
          <w:tab/>
        </w:r>
        <w:r w:rsidRPr="00450829">
          <w:rPr>
            <w:rStyle w:val="Hipercze"/>
            <w:noProof/>
          </w:rPr>
          <w:t>Wzrost kosztów w wyniku COVID-19</w:t>
        </w:r>
        <w:r>
          <w:rPr>
            <w:noProof/>
            <w:webHidden/>
          </w:rPr>
          <w:tab/>
        </w:r>
        <w:r>
          <w:rPr>
            <w:noProof/>
            <w:webHidden/>
          </w:rPr>
          <w:fldChar w:fldCharType="begin"/>
        </w:r>
        <w:r>
          <w:rPr>
            <w:noProof/>
            <w:webHidden/>
          </w:rPr>
          <w:instrText xml:space="preserve"> PAGEREF _Toc132708842 \h </w:instrText>
        </w:r>
        <w:r>
          <w:rPr>
            <w:noProof/>
            <w:webHidden/>
          </w:rPr>
        </w:r>
        <w:r>
          <w:rPr>
            <w:noProof/>
            <w:webHidden/>
          </w:rPr>
          <w:fldChar w:fldCharType="separate"/>
        </w:r>
        <w:r>
          <w:rPr>
            <w:noProof/>
            <w:webHidden/>
          </w:rPr>
          <w:t>29</w:t>
        </w:r>
        <w:r>
          <w:rPr>
            <w:noProof/>
            <w:webHidden/>
          </w:rPr>
          <w:fldChar w:fldCharType="end"/>
        </w:r>
      </w:hyperlink>
    </w:p>
    <w:p w14:paraId="3AFDBA9D" w14:textId="5B72F441" w:rsidR="00CB399A" w:rsidRDefault="00CB399A">
      <w:pPr>
        <w:pStyle w:val="Spistreci2"/>
        <w:rPr>
          <w:rFonts w:asciiTheme="minorHAnsi" w:eastAsiaTheme="minorEastAsia" w:hAnsiTheme="minorHAnsi" w:cstheme="minorBidi"/>
          <w:noProof/>
          <w:color w:val="auto"/>
          <w:sz w:val="22"/>
          <w:szCs w:val="22"/>
          <w:lang w:eastAsia="pl-PL"/>
        </w:rPr>
      </w:pPr>
      <w:hyperlink w:anchor="_Toc132708843" w:history="1">
        <w:r w:rsidRPr="00450829">
          <w:rPr>
            <w:rStyle w:val="Hipercze"/>
            <w:noProof/>
          </w:rPr>
          <w:t>4.4</w:t>
        </w:r>
        <w:r>
          <w:rPr>
            <w:rFonts w:asciiTheme="minorHAnsi" w:eastAsiaTheme="minorEastAsia" w:hAnsiTheme="minorHAnsi" w:cstheme="minorBidi"/>
            <w:noProof/>
            <w:color w:val="auto"/>
            <w:sz w:val="22"/>
            <w:szCs w:val="22"/>
            <w:lang w:eastAsia="pl-PL"/>
          </w:rPr>
          <w:tab/>
        </w:r>
        <w:r w:rsidRPr="00450829">
          <w:rPr>
            <w:rStyle w:val="Hipercze"/>
            <w:noProof/>
          </w:rPr>
          <w:t>Wskaźniki makroekonomiczne</w:t>
        </w:r>
        <w:r>
          <w:rPr>
            <w:noProof/>
            <w:webHidden/>
          </w:rPr>
          <w:tab/>
        </w:r>
        <w:r>
          <w:rPr>
            <w:noProof/>
            <w:webHidden/>
          </w:rPr>
          <w:fldChar w:fldCharType="begin"/>
        </w:r>
        <w:r>
          <w:rPr>
            <w:noProof/>
            <w:webHidden/>
          </w:rPr>
          <w:instrText xml:space="preserve"> PAGEREF _Toc132708843 \h </w:instrText>
        </w:r>
        <w:r>
          <w:rPr>
            <w:noProof/>
            <w:webHidden/>
          </w:rPr>
        </w:r>
        <w:r>
          <w:rPr>
            <w:noProof/>
            <w:webHidden/>
          </w:rPr>
          <w:fldChar w:fldCharType="separate"/>
        </w:r>
        <w:r>
          <w:rPr>
            <w:noProof/>
            <w:webHidden/>
          </w:rPr>
          <w:t>29</w:t>
        </w:r>
        <w:r>
          <w:rPr>
            <w:noProof/>
            <w:webHidden/>
          </w:rPr>
          <w:fldChar w:fldCharType="end"/>
        </w:r>
      </w:hyperlink>
    </w:p>
    <w:p w14:paraId="5EE93D4A" w14:textId="32ECE90F" w:rsidR="00DD2510" w:rsidRDefault="00DD2510" w:rsidP="00143568">
      <w:pPr>
        <w:ind w:left="1005"/>
      </w:pPr>
      <w:r>
        <w:rPr>
          <w:b/>
          <w:bCs/>
          <w:sz w:val="22"/>
          <w:szCs w:val="22"/>
        </w:rPr>
        <w:lastRenderedPageBreak/>
        <w:fldChar w:fldCharType="end"/>
      </w:r>
      <w:r w:rsidR="007054FA">
        <w:rPr>
          <w:noProof/>
        </w:rPr>
        <mc:AlternateContent>
          <mc:Choice Requires="wps">
            <w:drawing>
              <wp:anchor distT="0" distB="0" distL="114300" distR="114300" simplePos="0" relativeHeight="251661312" behindDoc="0" locked="0" layoutInCell="1" allowOverlap="1" wp14:anchorId="0157E778" wp14:editId="788A680A">
                <wp:simplePos x="0" y="0"/>
                <wp:positionH relativeFrom="margin">
                  <wp:align>left</wp:align>
                </wp:positionH>
                <wp:positionV relativeFrom="paragraph">
                  <wp:posOffset>89535</wp:posOffset>
                </wp:positionV>
                <wp:extent cx="5886450" cy="990600"/>
                <wp:effectExtent l="13335" t="13335" r="5715" b="15240"/>
                <wp:wrapNone/>
                <wp:docPr id="1379602709"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9060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14:paraId="35775C23" w14:textId="77777777" w:rsidR="00DD2510" w:rsidRPr="00925CF6" w:rsidRDefault="00DD2510" w:rsidP="0074648C">
                            <w:pPr>
                              <w:jc w:val="center"/>
                              <w:rPr>
                                <w:b/>
                                <w:bCs/>
                                <w:sz w:val="28"/>
                                <w:szCs w:val="28"/>
                              </w:rPr>
                            </w:pPr>
                            <w:r w:rsidRPr="00925CF6">
                              <w:rPr>
                                <w:b/>
                                <w:bCs/>
                                <w:sz w:val="28"/>
                                <w:szCs w:val="28"/>
                              </w:rPr>
                              <w:t>RAPORT O SYTUACJI EKONOMICZNO-FINANSOWEJ SAMODZIELNEGO PUBLICZNNEGO ZAKŁADU OPIEKI ZDROWOTNEJ</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57E778" id="Prostokąt 2" o:spid="_x0000_s1026" style="position:absolute;left:0;text-align:left;margin-left:0;margin-top:7.05pt;width:463.5pt;height: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" fillcolor="#dafda7" strokecolor="#98b954">
                <v:fill color2="#f5ffe6" rotate="t" angle="180" colors="0 #dafda7;22938f #e4fdc2;1 #f5ffe6" focus="100%" type="gradient"/>
                <v:shadow on="t" color="black" opacity="24903f" origin=",.5" offset="0,.55556mm"/>
                <v:textbox>
                  <w:txbxContent>
                    <w:p w14:paraId="35775C23" w14:textId="77777777" w:rsidR="00DD2510" w:rsidRPr="00925CF6" w:rsidRDefault="00DD2510" w:rsidP="0074648C">
                      <w:pPr>
                        <w:jc w:val="center"/>
                        <w:rPr>
                          <w:b/>
                          <w:bCs/>
                          <w:sz w:val="28"/>
                          <w:szCs w:val="28"/>
                        </w:rPr>
                      </w:pPr>
                      <w:r w:rsidRPr="00925CF6">
                        <w:rPr>
                          <w:b/>
                          <w:bCs/>
                          <w:sz w:val="28"/>
                          <w:szCs w:val="28"/>
                        </w:rPr>
                        <w:t>RAPORT O SYTUACJI EKONOMICZNO-FINANSOWEJ SAMODZIELNEGO PUBLICZNNEGO ZAKŁADU OPIEKI ZDROWOTNEJ</w:t>
                      </w:r>
                    </w:p>
                  </w:txbxContent>
                </v:textbox>
                <w10:wrap anchorx="margin"/>
              </v:rect>
            </w:pict>
          </mc:Fallback>
        </mc:AlternateContent>
      </w:r>
    </w:p>
    <w:p w14:paraId="34E13466" w14:textId="77777777" w:rsidR="00DD2510" w:rsidRDefault="00DD2510" w:rsidP="00AE24D5">
      <w:pPr>
        <w:tabs>
          <w:tab w:val="left" w:pos="426"/>
        </w:tabs>
        <w:jc w:val="both"/>
      </w:pPr>
    </w:p>
    <w:p w14:paraId="3EA3F1D7" w14:textId="77777777" w:rsidR="00DD2510" w:rsidRDefault="00DD2510" w:rsidP="00AE24D5">
      <w:pPr>
        <w:tabs>
          <w:tab w:val="left" w:pos="426"/>
        </w:tabs>
        <w:jc w:val="both"/>
      </w:pPr>
    </w:p>
    <w:p w14:paraId="32819534" w14:textId="77777777" w:rsidR="00DD2510" w:rsidRDefault="00DD2510" w:rsidP="00AE24D5">
      <w:pPr>
        <w:tabs>
          <w:tab w:val="left" w:pos="426"/>
        </w:tabs>
        <w:jc w:val="both"/>
        <w:rPr>
          <w:lang w:eastAsia="pl-PL"/>
        </w:rPr>
      </w:pPr>
    </w:p>
    <w:p w14:paraId="3045CC66" w14:textId="77777777" w:rsidR="00DD2510" w:rsidRDefault="00DD2510" w:rsidP="00AE24D5">
      <w:pPr>
        <w:tabs>
          <w:tab w:val="left" w:pos="426"/>
        </w:tabs>
        <w:jc w:val="both"/>
        <w:rPr>
          <w:lang w:eastAsia="pl-PL"/>
        </w:rPr>
      </w:pPr>
    </w:p>
    <w:p w14:paraId="00BF3D1A" w14:textId="77777777" w:rsidR="00DD2510" w:rsidRDefault="00DD2510" w:rsidP="00AE24D5">
      <w:pPr>
        <w:tabs>
          <w:tab w:val="left" w:pos="426"/>
        </w:tabs>
        <w:jc w:val="both"/>
        <w:rPr>
          <w:lang w:eastAsia="pl-PL"/>
        </w:rPr>
      </w:pPr>
    </w:p>
    <w:p w14:paraId="4397ABF8" w14:textId="77777777" w:rsidR="00DD2510" w:rsidRDefault="00DD2510" w:rsidP="00E75D6F">
      <w:pPr>
        <w:tabs>
          <w:tab w:val="left" w:pos="426"/>
        </w:tabs>
        <w:spacing w:line="360" w:lineRule="atLeast"/>
        <w:jc w:val="both"/>
        <w:rPr>
          <w:lang w:eastAsia="pl-PL"/>
        </w:rPr>
      </w:pPr>
      <w:r>
        <w:rPr>
          <w:b/>
          <w:bCs/>
          <w:lang w:eastAsia="pl-PL"/>
        </w:rPr>
        <w:t xml:space="preserve">Podstawa prawna: </w:t>
      </w:r>
      <w:r>
        <w:rPr>
          <w:b/>
          <w:bCs/>
          <w:lang w:eastAsia="pl-PL"/>
        </w:rPr>
        <w:tab/>
      </w:r>
      <w:r>
        <w:rPr>
          <w:lang w:eastAsia="pl-PL"/>
        </w:rPr>
        <w:t>art. 53a ustawy z dnia 15 kwietnia 2011 r. o działalności leczniczej (tekst jednolity: Dz. U. 2022, poz. 633)</w:t>
      </w:r>
    </w:p>
    <w:p w14:paraId="2CAD124D" w14:textId="77777777" w:rsidR="00DD2510" w:rsidRPr="0074648C" w:rsidRDefault="00DD2510" w:rsidP="00AE24D5">
      <w:pPr>
        <w:tabs>
          <w:tab w:val="left" w:pos="426"/>
        </w:tabs>
        <w:jc w:val="both"/>
        <w:rPr>
          <w:lang w:eastAsia="pl-PL"/>
        </w:rPr>
      </w:pPr>
    </w:p>
    <w:p w14:paraId="06A3E4AD" w14:textId="77777777" w:rsidR="00DD2510" w:rsidRPr="0054324B" w:rsidRDefault="00DD2510" w:rsidP="00156F00">
      <w:pPr>
        <w:pStyle w:val="Nagwek1"/>
        <w:framePr w:wrap="auto"/>
        <w:rPr>
          <w:b/>
          <w:bCs/>
        </w:rPr>
      </w:pPr>
      <w:bookmarkStart w:id="0" w:name="_Toc132708824"/>
      <w:r w:rsidRPr="0054324B">
        <w:rPr>
          <w:b/>
          <w:bCs/>
        </w:rPr>
        <w:t>WYBRANE INFORMACJE O SAMODZIELNYM PUBLICZNYM ZAKŁADZIE OPIEKI ZDROWOTNEJ.</w:t>
      </w:r>
      <w:bookmarkEnd w:id="0"/>
    </w:p>
    <w:p w14:paraId="58886603" w14:textId="77777777" w:rsidR="00DD2510" w:rsidRPr="0052188F" w:rsidRDefault="00DD2510" w:rsidP="0052188F"/>
    <w:p w14:paraId="03BE5E88" w14:textId="77777777" w:rsidR="00DD2510" w:rsidRDefault="00DD2510" w:rsidP="00E75D6F">
      <w:pPr>
        <w:numPr>
          <w:ilvl w:val="0"/>
          <w:numId w:val="7"/>
        </w:numPr>
        <w:suppressAutoHyphens w:val="0"/>
        <w:spacing w:after="120" w:line="360" w:lineRule="atLeast"/>
      </w:pPr>
      <w:r>
        <w:t xml:space="preserve">Nazwa podmiotu leczniczego: </w:t>
      </w:r>
      <w:r w:rsidRPr="00D37A94">
        <w:t xml:space="preserve">Samodzielny Publiczny Zakład Opieki Zdrowotnej </w:t>
      </w:r>
    </w:p>
    <w:p w14:paraId="393D27ED" w14:textId="77777777" w:rsidR="00DD2510" w:rsidRPr="00D37A94" w:rsidRDefault="00DD2510" w:rsidP="00E75D6F">
      <w:pPr>
        <w:suppressAutoHyphens w:val="0"/>
        <w:spacing w:after="120" w:line="360" w:lineRule="atLeast"/>
        <w:ind w:left="360"/>
      </w:pPr>
      <w:r>
        <w:tab/>
      </w:r>
      <w:r w:rsidRPr="00D37A94">
        <w:t>Szpital Kolejowy w Wilkowicach – Bystrej</w:t>
      </w:r>
    </w:p>
    <w:p w14:paraId="7A31827D" w14:textId="77777777" w:rsidR="00DD2510" w:rsidRPr="00D37A94" w:rsidRDefault="00DD2510" w:rsidP="00E75D6F">
      <w:pPr>
        <w:numPr>
          <w:ilvl w:val="0"/>
          <w:numId w:val="7"/>
        </w:numPr>
        <w:suppressAutoHyphens w:val="0"/>
        <w:spacing w:after="120" w:line="360" w:lineRule="atLeast"/>
      </w:pPr>
      <w:r w:rsidRPr="00D37A94">
        <w:t>Adres podmiotu leczniczego: 43-365 Wilkowice, ul. Żywiecka 19</w:t>
      </w:r>
    </w:p>
    <w:p w14:paraId="5867FBFB" w14:textId="77777777" w:rsidR="00DD2510" w:rsidRPr="00D37A94" w:rsidRDefault="00DD2510" w:rsidP="00E75D6F">
      <w:pPr>
        <w:numPr>
          <w:ilvl w:val="0"/>
          <w:numId w:val="7"/>
        </w:numPr>
        <w:suppressAutoHyphens w:val="0"/>
        <w:spacing w:after="120" w:line="360" w:lineRule="atLeast"/>
      </w:pPr>
      <w:r w:rsidRPr="00D37A94">
        <w:t xml:space="preserve">Numer telefonu: 33 812 20 20; 28; 29 </w:t>
      </w:r>
    </w:p>
    <w:p w14:paraId="283AAEB7" w14:textId="77777777" w:rsidR="00DD2510" w:rsidRPr="00D37A94" w:rsidRDefault="00DD2510" w:rsidP="00E75D6F">
      <w:pPr>
        <w:numPr>
          <w:ilvl w:val="0"/>
          <w:numId w:val="7"/>
        </w:numPr>
        <w:suppressAutoHyphens w:val="0"/>
        <w:spacing w:after="120" w:line="360" w:lineRule="atLeast"/>
        <w:rPr>
          <w:lang w:val="en-US"/>
        </w:rPr>
      </w:pPr>
      <w:proofErr w:type="spellStart"/>
      <w:r w:rsidRPr="00D37A94">
        <w:rPr>
          <w:lang w:val="en-US"/>
        </w:rPr>
        <w:t>Adres</w:t>
      </w:r>
      <w:proofErr w:type="spellEnd"/>
      <w:r w:rsidRPr="00D37A94">
        <w:rPr>
          <w:lang w:val="en-US"/>
        </w:rPr>
        <w:t xml:space="preserve"> e-mail: biuro@szpital-kolejowy.com</w:t>
      </w:r>
    </w:p>
    <w:p w14:paraId="6E4D76D9" w14:textId="77777777" w:rsidR="00DD2510" w:rsidRPr="00D37A94" w:rsidRDefault="00DD2510" w:rsidP="00E75D6F">
      <w:pPr>
        <w:numPr>
          <w:ilvl w:val="0"/>
          <w:numId w:val="7"/>
        </w:numPr>
        <w:suppressAutoHyphens w:val="0"/>
        <w:spacing w:after="120" w:line="360" w:lineRule="atLeast"/>
      </w:pPr>
      <w:r w:rsidRPr="00D37A94">
        <w:t>Numer REGON: 010657175</w:t>
      </w:r>
    </w:p>
    <w:p w14:paraId="2CD550E7" w14:textId="77777777" w:rsidR="00DD2510" w:rsidRPr="00D37A94" w:rsidRDefault="00DD2510" w:rsidP="00E75D6F">
      <w:pPr>
        <w:numPr>
          <w:ilvl w:val="0"/>
          <w:numId w:val="7"/>
        </w:numPr>
        <w:suppressAutoHyphens w:val="0"/>
        <w:spacing w:after="120" w:line="360" w:lineRule="atLeast"/>
      </w:pPr>
      <w:r w:rsidRPr="00D37A94">
        <w:t>Numer NIP:  9372188022</w:t>
      </w:r>
    </w:p>
    <w:p w14:paraId="0E8D8151" w14:textId="77777777" w:rsidR="00DD2510" w:rsidRPr="00D37A94" w:rsidRDefault="00DD2510" w:rsidP="00E75D6F">
      <w:pPr>
        <w:numPr>
          <w:ilvl w:val="0"/>
          <w:numId w:val="7"/>
        </w:numPr>
        <w:suppressAutoHyphens w:val="0"/>
        <w:spacing w:after="120" w:line="360" w:lineRule="atLeast"/>
      </w:pPr>
      <w:r w:rsidRPr="00D37A94">
        <w:t>Numer Krajowego Rejestru Sądowego: 0000031391</w:t>
      </w:r>
    </w:p>
    <w:p w14:paraId="65A6BA45" w14:textId="77777777" w:rsidR="00DD2510" w:rsidRDefault="00DD2510" w:rsidP="00E75D6F">
      <w:pPr>
        <w:numPr>
          <w:ilvl w:val="0"/>
          <w:numId w:val="7"/>
        </w:numPr>
        <w:suppressAutoHyphens w:val="0"/>
        <w:spacing w:after="120" w:line="360" w:lineRule="atLeast"/>
      </w:pPr>
      <w:r w:rsidRPr="00D37A94">
        <w:t>Data wpisu i numer podmiotów wykonujących działalność leczniczą: 11.03.1994r.</w:t>
      </w:r>
      <w:r>
        <w:t xml:space="preserve"> nr </w:t>
      </w:r>
      <w:r w:rsidRPr="00D37A94">
        <w:t>000000013925</w:t>
      </w:r>
      <w:r>
        <w:t xml:space="preserve">. </w:t>
      </w:r>
    </w:p>
    <w:p w14:paraId="4844CB99" w14:textId="77777777" w:rsidR="00DD2510" w:rsidRDefault="00DD2510" w:rsidP="00D37A94">
      <w:pPr>
        <w:suppressAutoHyphens w:val="0"/>
        <w:spacing w:line="240" w:lineRule="auto"/>
        <w:ind w:left="567"/>
      </w:pPr>
    </w:p>
    <w:p w14:paraId="124380F4" w14:textId="77777777" w:rsidR="00DD2510" w:rsidRPr="00D37A94" w:rsidRDefault="00DD2510" w:rsidP="00D37A94">
      <w:pPr>
        <w:suppressAutoHyphens w:val="0"/>
        <w:spacing w:line="240" w:lineRule="auto"/>
        <w:ind w:left="567"/>
      </w:pPr>
    </w:p>
    <w:p w14:paraId="42B6D859" w14:textId="0AA07BB9" w:rsidR="00DD2510" w:rsidRPr="0054324B" w:rsidRDefault="00DD2510" w:rsidP="00156F00">
      <w:pPr>
        <w:pStyle w:val="Nagwek1"/>
        <w:framePr w:wrap="auto"/>
        <w:rPr>
          <w:b/>
          <w:bCs/>
        </w:rPr>
      </w:pPr>
      <w:bookmarkStart w:id="1" w:name="_Toc132708825"/>
      <w:r w:rsidRPr="0054324B">
        <w:rPr>
          <w:b/>
          <w:bCs/>
        </w:rPr>
        <w:t>ANALIZA SYTYUACJI EKONOMICZNO-FINANSOWEJ ZA 202</w:t>
      </w:r>
      <w:r w:rsidR="00310CC9">
        <w:rPr>
          <w:b/>
          <w:bCs/>
        </w:rPr>
        <w:t>2</w:t>
      </w:r>
      <w:r w:rsidRPr="0054324B">
        <w:rPr>
          <w:b/>
          <w:bCs/>
        </w:rPr>
        <w:t xml:space="preserve"> ROK</w:t>
      </w:r>
      <w:bookmarkEnd w:id="1"/>
    </w:p>
    <w:p w14:paraId="7B96A1A6" w14:textId="77777777" w:rsidR="00DD2510" w:rsidRPr="00402325" w:rsidRDefault="00DD2510" w:rsidP="002B78A5">
      <w:pPr>
        <w:spacing w:line="360" w:lineRule="atLeast"/>
        <w:ind w:firstLine="432"/>
        <w:jc w:val="both"/>
      </w:pPr>
      <w:r w:rsidRPr="00402325">
        <w:t>Ocena sytuacji ekonomiczno-finansowej została opracowana w oparciu o teorię                               i zasady analizy wskaźnikowej, dostosowanej do warunków i specyfiki sektora ochrony zdrowia.</w:t>
      </w:r>
    </w:p>
    <w:p w14:paraId="5CC45CE8" w14:textId="77777777" w:rsidR="00DD2510" w:rsidRPr="00402325" w:rsidRDefault="00DD2510" w:rsidP="002B78A5">
      <w:pPr>
        <w:spacing w:line="360" w:lineRule="atLeast"/>
        <w:jc w:val="both"/>
      </w:pPr>
      <w:r w:rsidRPr="00402325">
        <w:t xml:space="preserve">Raport sporządzono zgodnie z Rozporządzeniem Ministra Zdrowia z dnia 12 kwietnia 2017 roku w sprawie wskaźników ekonomiczno-finansowych niezbędnych do sporządzenia analizy oraz prognozy sytuacji ekonomiczno-finansowej samodzielnych publicznych zakładów opieki zdrowotnej. </w:t>
      </w:r>
    </w:p>
    <w:p w14:paraId="742D1701" w14:textId="5C95BC98" w:rsidR="00DD2510" w:rsidRDefault="00DD2510" w:rsidP="002B78A5">
      <w:pPr>
        <w:spacing w:line="360" w:lineRule="atLeast"/>
        <w:ind w:firstLine="709"/>
        <w:jc w:val="both"/>
      </w:pPr>
      <w:r w:rsidRPr="00402325">
        <w:t>Analizę sytuacji ekonomiczno-finansowej naszej Jednostki za 20</w:t>
      </w:r>
      <w:r>
        <w:t>2</w:t>
      </w:r>
      <w:r w:rsidR="00556A09">
        <w:t>2</w:t>
      </w:r>
      <w:r w:rsidRPr="00402325">
        <w:t xml:space="preserve"> rok, przeprowadzono</w:t>
      </w:r>
      <w:r>
        <w:t xml:space="preserve"> </w:t>
      </w:r>
      <w:r w:rsidRPr="00402325">
        <w:t xml:space="preserve">w oparciu o punktowe oceny przypisane poszczególnym wskaźnikom, wyliczonym zgodnie ze sposobem określonym w/w rozporządzeniu. </w:t>
      </w:r>
    </w:p>
    <w:p w14:paraId="00D882B2" w14:textId="77777777" w:rsidR="00DD2510" w:rsidRDefault="00DD2510" w:rsidP="002B78A5">
      <w:pPr>
        <w:spacing w:line="360" w:lineRule="atLeast"/>
        <w:ind w:firstLine="709"/>
      </w:pPr>
    </w:p>
    <w:p w14:paraId="0D1A8790" w14:textId="77777777" w:rsidR="00DD2510" w:rsidRDefault="00DD2510" w:rsidP="008C423A">
      <w:pPr>
        <w:ind w:firstLine="709"/>
      </w:pPr>
    </w:p>
    <w:tbl>
      <w:tblPr>
        <w:tblW w:w="9825" w:type="dxa"/>
        <w:tblInd w:w="-15" w:type="dxa"/>
        <w:tblCellMar>
          <w:left w:w="70" w:type="dxa"/>
          <w:right w:w="70" w:type="dxa"/>
        </w:tblCellMar>
        <w:tblLook w:val="0000" w:firstRow="0" w:lastRow="0" w:firstColumn="0" w:lastColumn="0" w:noHBand="0" w:noVBand="0"/>
      </w:tblPr>
      <w:tblGrid>
        <w:gridCol w:w="1173"/>
        <w:gridCol w:w="408"/>
        <w:gridCol w:w="80"/>
        <w:gridCol w:w="15"/>
        <w:gridCol w:w="3649"/>
        <w:gridCol w:w="1803"/>
        <w:gridCol w:w="25"/>
        <w:gridCol w:w="806"/>
        <w:gridCol w:w="70"/>
        <w:gridCol w:w="820"/>
        <w:gridCol w:w="992"/>
        <w:gridCol w:w="34"/>
      </w:tblGrid>
      <w:tr w:rsidR="00DD2510" w:rsidRPr="00247368" w14:paraId="3EFB93AE" w14:textId="77777777">
        <w:trPr>
          <w:gridAfter w:val="1"/>
          <w:wAfter w:w="34" w:type="dxa"/>
          <w:trHeight w:val="215"/>
        </w:trPr>
        <w:tc>
          <w:tcPr>
            <w:tcW w:w="7078" w:type="dxa"/>
            <w:gridSpan w:val="6"/>
            <w:tcBorders>
              <w:top w:val="single" w:sz="4" w:space="0" w:color="auto"/>
              <w:left w:val="single" w:sz="4" w:space="0" w:color="auto"/>
              <w:bottom w:val="single" w:sz="8" w:space="0" w:color="auto"/>
              <w:right w:val="single" w:sz="4" w:space="0" w:color="auto"/>
            </w:tcBorders>
            <w:shd w:val="clear" w:color="000000" w:fill="FFFFFF"/>
            <w:noWrap/>
            <w:vAlign w:val="center"/>
          </w:tcPr>
          <w:p w14:paraId="4DCF48D3" w14:textId="77777777"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ANALIZA WSKAŹNIKOWA I PUNKTOWA SYTUACJI FINANSOWEJ</w:t>
            </w:r>
          </w:p>
        </w:tc>
        <w:tc>
          <w:tcPr>
            <w:tcW w:w="901" w:type="dxa"/>
            <w:gridSpan w:val="3"/>
            <w:tcBorders>
              <w:top w:val="single" w:sz="4" w:space="0" w:color="auto"/>
              <w:left w:val="single" w:sz="4" w:space="0" w:color="auto"/>
              <w:bottom w:val="single" w:sz="8" w:space="0" w:color="auto"/>
              <w:right w:val="nil"/>
            </w:tcBorders>
            <w:shd w:val="clear" w:color="000000" w:fill="FFFFFF"/>
            <w:noWrap/>
            <w:vAlign w:val="center"/>
          </w:tcPr>
          <w:p w14:paraId="24299DC2" w14:textId="77777777"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za rok</w:t>
            </w:r>
          </w:p>
        </w:tc>
        <w:tc>
          <w:tcPr>
            <w:tcW w:w="820" w:type="dxa"/>
            <w:tcBorders>
              <w:top w:val="single" w:sz="4" w:space="0" w:color="auto"/>
              <w:left w:val="nil"/>
              <w:bottom w:val="single" w:sz="8" w:space="0" w:color="auto"/>
              <w:right w:val="single" w:sz="4" w:space="0" w:color="auto"/>
            </w:tcBorders>
            <w:shd w:val="clear" w:color="000000" w:fill="FFFFFF"/>
            <w:noWrap/>
            <w:vAlign w:val="center"/>
          </w:tcPr>
          <w:p w14:paraId="6B95E833" w14:textId="121809F4"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2 02</w:t>
            </w:r>
            <w:r w:rsidR="00310CC9">
              <w:rPr>
                <w:rFonts w:ascii="Garamond" w:hAnsi="Garamond" w:cs="Garamond"/>
                <w:b/>
                <w:bCs/>
                <w:sz w:val="20"/>
                <w:szCs w:val="20"/>
                <w:lang w:eastAsia="zh-CN"/>
              </w:rPr>
              <w:t>2</w:t>
            </w:r>
          </w:p>
        </w:tc>
        <w:tc>
          <w:tcPr>
            <w:tcW w:w="992"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70F9ECBA" w14:textId="77777777" w:rsidR="00DD2510" w:rsidRPr="00247368" w:rsidRDefault="00DD2510" w:rsidP="008C423A">
            <w:pPr>
              <w:suppressAutoHyphens w:val="0"/>
              <w:jc w:val="center"/>
              <w:rPr>
                <w:rFonts w:ascii="Garamond" w:hAnsi="Garamond" w:cs="Garamond"/>
                <w:b/>
                <w:bCs/>
                <w:sz w:val="20"/>
                <w:szCs w:val="20"/>
                <w:lang w:eastAsia="zh-CN"/>
              </w:rPr>
            </w:pPr>
          </w:p>
        </w:tc>
      </w:tr>
      <w:tr w:rsidR="00DD2510" w:rsidRPr="00247368" w14:paraId="131DDB1C" w14:textId="77777777">
        <w:trPr>
          <w:gridAfter w:val="1"/>
          <w:wAfter w:w="34" w:type="dxa"/>
          <w:trHeight w:val="323"/>
        </w:trPr>
        <w:tc>
          <w:tcPr>
            <w:tcW w:w="1774" w:type="dxa"/>
            <w:gridSpan w:val="4"/>
            <w:vMerge w:val="restart"/>
            <w:tcBorders>
              <w:top w:val="nil"/>
              <w:left w:val="single" w:sz="8" w:space="0" w:color="auto"/>
              <w:bottom w:val="single" w:sz="4" w:space="0" w:color="000000"/>
              <w:right w:val="single" w:sz="4" w:space="0" w:color="auto"/>
            </w:tcBorders>
            <w:shd w:val="clear" w:color="000000" w:fill="FFCC00"/>
            <w:vAlign w:val="center"/>
          </w:tcPr>
          <w:p w14:paraId="545D5AA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Wskaźniki</w:t>
            </w:r>
          </w:p>
        </w:tc>
        <w:tc>
          <w:tcPr>
            <w:tcW w:w="3501" w:type="dxa"/>
            <w:vMerge w:val="restart"/>
            <w:tcBorders>
              <w:top w:val="nil"/>
              <w:left w:val="single" w:sz="4" w:space="0" w:color="auto"/>
              <w:bottom w:val="single" w:sz="4" w:space="0" w:color="000000"/>
              <w:right w:val="single" w:sz="4" w:space="0" w:color="auto"/>
            </w:tcBorders>
            <w:shd w:val="clear" w:color="000000" w:fill="FFCC00"/>
            <w:vAlign w:val="center"/>
          </w:tcPr>
          <w:p w14:paraId="1C6B3D04"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Metoda ustalenia</w:t>
            </w:r>
          </w:p>
        </w:tc>
        <w:tc>
          <w:tcPr>
            <w:tcW w:w="1803" w:type="dxa"/>
            <w:vMerge w:val="restart"/>
            <w:tcBorders>
              <w:top w:val="nil"/>
              <w:left w:val="single" w:sz="4" w:space="0" w:color="auto"/>
              <w:bottom w:val="single" w:sz="4" w:space="0" w:color="000000"/>
              <w:right w:val="single" w:sz="4" w:space="0" w:color="auto"/>
            </w:tcBorders>
            <w:shd w:val="clear" w:color="000000" w:fill="FFCC00"/>
            <w:vAlign w:val="center"/>
          </w:tcPr>
          <w:p w14:paraId="59108A7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Przedziały           wartości</w:t>
            </w:r>
          </w:p>
        </w:tc>
        <w:tc>
          <w:tcPr>
            <w:tcW w:w="901" w:type="dxa"/>
            <w:gridSpan w:val="3"/>
            <w:vMerge w:val="restart"/>
            <w:tcBorders>
              <w:top w:val="nil"/>
              <w:left w:val="single" w:sz="4" w:space="0" w:color="auto"/>
              <w:bottom w:val="single" w:sz="4" w:space="0" w:color="000000"/>
              <w:right w:val="single" w:sz="4" w:space="0" w:color="auto"/>
            </w:tcBorders>
            <w:shd w:val="clear" w:color="000000" w:fill="FFCC00"/>
            <w:vAlign w:val="center"/>
          </w:tcPr>
          <w:p w14:paraId="6A9C99B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Ocena punktowa</w:t>
            </w:r>
          </w:p>
        </w:tc>
        <w:tc>
          <w:tcPr>
            <w:tcW w:w="820" w:type="dxa"/>
            <w:vMerge w:val="restart"/>
            <w:tcBorders>
              <w:top w:val="nil"/>
              <w:left w:val="single" w:sz="4" w:space="0" w:color="auto"/>
              <w:bottom w:val="single" w:sz="4" w:space="0" w:color="000000"/>
              <w:right w:val="single" w:sz="4" w:space="0" w:color="auto"/>
            </w:tcBorders>
            <w:shd w:val="clear" w:color="000000" w:fill="FFCC00"/>
            <w:vAlign w:val="center"/>
          </w:tcPr>
          <w:p w14:paraId="14C130C9"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Wskaźnik </w:t>
            </w:r>
          </w:p>
        </w:tc>
        <w:tc>
          <w:tcPr>
            <w:tcW w:w="992" w:type="dxa"/>
            <w:vMerge w:val="restart"/>
            <w:tcBorders>
              <w:top w:val="nil"/>
              <w:left w:val="nil"/>
              <w:bottom w:val="single" w:sz="4" w:space="0" w:color="000000"/>
              <w:right w:val="single" w:sz="8" w:space="0" w:color="auto"/>
            </w:tcBorders>
            <w:shd w:val="clear" w:color="000000" w:fill="FFCC00"/>
            <w:vAlign w:val="center"/>
          </w:tcPr>
          <w:p w14:paraId="527950CE"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Ocena </w:t>
            </w:r>
          </w:p>
        </w:tc>
      </w:tr>
      <w:tr w:rsidR="00DD2510" w:rsidRPr="00247368" w14:paraId="4F80090D" w14:textId="77777777">
        <w:trPr>
          <w:gridAfter w:val="1"/>
          <w:wAfter w:w="34" w:type="dxa"/>
          <w:trHeight w:val="323"/>
        </w:trPr>
        <w:tc>
          <w:tcPr>
            <w:tcW w:w="1774" w:type="dxa"/>
            <w:gridSpan w:val="4"/>
            <w:vMerge/>
            <w:tcBorders>
              <w:top w:val="nil"/>
              <w:left w:val="single" w:sz="8" w:space="0" w:color="auto"/>
              <w:bottom w:val="single" w:sz="4" w:space="0" w:color="000000"/>
              <w:right w:val="single" w:sz="4" w:space="0" w:color="auto"/>
            </w:tcBorders>
            <w:vAlign w:val="center"/>
          </w:tcPr>
          <w:p w14:paraId="7B6B86B4" w14:textId="77777777" w:rsidR="00DD2510" w:rsidRPr="00247368" w:rsidRDefault="00DD2510" w:rsidP="002B78A5">
            <w:pPr>
              <w:suppressAutoHyphens w:val="0"/>
              <w:rPr>
                <w:rFonts w:ascii="Garamond" w:hAnsi="Garamond" w:cs="Garamond"/>
                <w:sz w:val="16"/>
                <w:szCs w:val="16"/>
                <w:lang w:eastAsia="zh-CN"/>
              </w:rPr>
            </w:pPr>
          </w:p>
        </w:tc>
        <w:tc>
          <w:tcPr>
            <w:tcW w:w="3501" w:type="dxa"/>
            <w:vMerge/>
            <w:tcBorders>
              <w:top w:val="nil"/>
              <w:left w:val="single" w:sz="4" w:space="0" w:color="auto"/>
              <w:bottom w:val="single" w:sz="4" w:space="0" w:color="000000"/>
              <w:right w:val="single" w:sz="4" w:space="0" w:color="auto"/>
            </w:tcBorders>
            <w:vAlign w:val="center"/>
          </w:tcPr>
          <w:p w14:paraId="671B96CF" w14:textId="77777777" w:rsidR="00DD2510" w:rsidRPr="00247368" w:rsidRDefault="00DD2510" w:rsidP="002B78A5">
            <w:pPr>
              <w:suppressAutoHyphens w:val="0"/>
              <w:rPr>
                <w:rFonts w:ascii="Garamond" w:hAnsi="Garamond" w:cs="Garamond"/>
                <w:sz w:val="16"/>
                <w:szCs w:val="16"/>
                <w:lang w:eastAsia="zh-CN"/>
              </w:rPr>
            </w:pPr>
          </w:p>
        </w:tc>
        <w:tc>
          <w:tcPr>
            <w:tcW w:w="1803" w:type="dxa"/>
            <w:vMerge/>
            <w:tcBorders>
              <w:top w:val="nil"/>
              <w:left w:val="single" w:sz="4" w:space="0" w:color="auto"/>
              <w:bottom w:val="single" w:sz="4" w:space="0" w:color="000000"/>
              <w:right w:val="single" w:sz="4" w:space="0" w:color="auto"/>
            </w:tcBorders>
            <w:vAlign w:val="center"/>
          </w:tcPr>
          <w:p w14:paraId="287560F0" w14:textId="77777777" w:rsidR="00DD2510" w:rsidRPr="00247368" w:rsidRDefault="00DD2510" w:rsidP="002B78A5">
            <w:pPr>
              <w:suppressAutoHyphens w:val="0"/>
              <w:rPr>
                <w:rFonts w:ascii="Garamond" w:hAnsi="Garamond" w:cs="Garamond"/>
                <w:sz w:val="16"/>
                <w:szCs w:val="16"/>
                <w:lang w:eastAsia="zh-CN"/>
              </w:rPr>
            </w:pPr>
          </w:p>
        </w:tc>
        <w:tc>
          <w:tcPr>
            <w:tcW w:w="901" w:type="dxa"/>
            <w:gridSpan w:val="3"/>
            <w:vMerge/>
            <w:tcBorders>
              <w:top w:val="nil"/>
              <w:left w:val="single" w:sz="4" w:space="0" w:color="auto"/>
              <w:bottom w:val="single" w:sz="4" w:space="0" w:color="000000"/>
              <w:right w:val="single" w:sz="4" w:space="0" w:color="auto"/>
            </w:tcBorders>
            <w:vAlign w:val="center"/>
          </w:tcPr>
          <w:p w14:paraId="3A149395" w14:textId="77777777" w:rsidR="00DD2510" w:rsidRPr="00247368" w:rsidRDefault="00DD2510" w:rsidP="002B78A5">
            <w:pPr>
              <w:suppressAutoHyphens w:val="0"/>
              <w:rPr>
                <w:rFonts w:ascii="Garamond" w:hAnsi="Garamond" w:cs="Garamond"/>
                <w:sz w:val="16"/>
                <w:szCs w:val="16"/>
                <w:lang w:eastAsia="zh-CN"/>
              </w:rPr>
            </w:pPr>
          </w:p>
        </w:tc>
        <w:tc>
          <w:tcPr>
            <w:tcW w:w="820" w:type="dxa"/>
            <w:vMerge/>
            <w:tcBorders>
              <w:top w:val="nil"/>
              <w:left w:val="single" w:sz="4" w:space="0" w:color="auto"/>
              <w:bottom w:val="single" w:sz="4" w:space="0" w:color="000000"/>
              <w:right w:val="single" w:sz="4" w:space="0" w:color="auto"/>
            </w:tcBorders>
            <w:vAlign w:val="center"/>
          </w:tcPr>
          <w:p w14:paraId="426E7E0A" w14:textId="77777777" w:rsidR="00DD2510" w:rsidRPr="00247368" w:rsidRDefault="00DD2510" w:rsidP="002B78A5">
            <w:pPr>
              <w:suppressAutoHyphens w:val="0"/>
              <w:rPr>
                <w:rFonts w:ascii="Garamond" w:hAnsi="Garamond" w:cs="Garamond"/>
                <w:sz w:val="16"/>
                <w:szCs w:val="16"/>
                <w:lang w:eastAsia="zh-CN"/>
              </w:rPr>
            </w:pPr>
          </w:p>
        </w:tc>
        <w:tc>
          <w:tcPr>
            <w:tcW w:w="992" w:type="dxa"/>
            <w:vMerge/>
            <w:tcBorders>
              <w:top w:val="nil"/>
              <w:left w:val="nil"/>
              <w:bottom w:val="single" w:sz="4" w:space="0" w:color="000000"/>
              <w:right w:val="single" w:sz="8" w:space="0" w:color="auto"/>
            </w:tcBorders>
            <w:vAlign w:val="center"/>
          </w:tcPr>
          <w:p w14:paraId="23E62757" w14:textId="77777777" w:rsidR="00DD2510" w:rsidRPr="00247368" w:rsidRDefault="00DD2510" w:rsidP="002B78A5">
            <w:pPr>
              <w:suppressAutoHyphens w:val="0"/>
              <w:rPr>
                <w:rFonts w:ascii="Garamond" w:hAnsi="Garamond" w:cs="Garamond"/>
                <w:sz w:val="16"/>
                <w:szCs w:val="16"/>
                <w:lang w:eastAsia="zh-CN"/>
              </w:rPr>
            </w:pPr>
          </w:p>
        </w:tc>
      </w:tr>
      <w:tr w:rsidR="00DD2510" w:rsidRPr="00247368" w14:paraId="39C15676" w14:textId="77777777">
        <w:trPr>
          <w:gridAfter w:val="1"/>
          <w:wAfter w:w="34" w:type="dxa"/>
          <w:trHeight w:val="269"/>
        </w:trPr>
        <w:tc>
          <w:tcPr>
            <w:tcW w:w="5275" w:type="dxa"/>
            <w:gridSpan w:val="5"/>
            <w:tcBorders>
              <w:top w:val="single" w:sz="4" w:space="0" w:color="auto"/>
              <w:left w:val="single" w:sz="8" w:space="0" w:color="auto"/>
              <w:bottom w:val="single" w:sz="4" w:space="0" w:color="auto"/>
              <w:right w:val="nil"/>
            </w:tcBorders>
            <w:shd w:val="clear" w:color="000000" w:fill="969696"/>
            <w:noWrap/>
            <w:vAlign w:val="center"/>
          </w:tcPr>
          <w:p w14:paraId="7DE80665"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     WSKAŹNIKI ZYSKOWNOŚCI</w:t>
            </w:r>
          </w:p>
        </w:tc>
        <w:tc>
          <w:tcPr>
            <w:tcW w:w="1803" w:type="dxa"/>
            <w:tcBorders>
              <w:top w:val="nil"/>
              <w:left w:val="nil"/>
              <w:bottom w:val="single" w:sz="4" w:space="0" w:color="auto"/>
              <w:right w:val="nil"/>
            </w:tcBorders>
            <w:shd w:val="clear" w:color="000000" w:fill="969696"/>
            <w:noWrap/>
            <w:vAlign w:val="center"/>
          </w:tcPr>
          <w:p w14:paraId="494A464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01" w:type="dxa"/>
            <w:gridSpan w:val="3"/>
            <w:tcBorders>
              <w:top w:val="nil"/>
              <w:left w:val="nil"/>
              <w:bottom w:val="single" w:sz="4" w:space="0" w:color="auto"/>
              <w:right w:val="nil"/>
            </w:tcBorders>
            <w:shd w:val="clear" w:color="000000" w:fill="969696"/>
            <w:noWrap/>
            <w:vAlign w:val="center"/>
          </w:tcPr>
          <w:p w14:paraId="4176054D"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20" w:type="dxa"/>
            <w:tcBorders>
              <w:top w:val="nil"/>
              <w:left w:val="nil"/>
              <w:bottom w:val="single" w:sz="4" w:space="0" w:color="auto"/>
              <w:right w:val="nil"/>
            </w:tcBorders>
            <w:shd w:val="clear" w:color="000000" w:fill="969696"/>
            <w:noWrap/>
            <w:vAlign w:val="center"/>
          </w:tcPr>
          <w:p w14:paraId="67B64512"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92" w:type="dxa"/>
            <w:tcBorders>
              <w:top w:val="nil"/>
              <w:left w:val="nil"/>
              <w:bottom w:val="single" w:sz="4" w:space="0" w:color="auto"/>
              <w:right w:val="single" w:sz="8" w:space="0" w:color="auto"/>
            </w:tcBorders>
            <w:shd w:val="clear" w:color="000000" w:fill="969696"/>
            <w:noWrap/>
            <w:vAlign w:val="center"/>
          </w:tcPr>
          <w:p w14:paraId="5684A5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DD2510" w:rsidRPr="00247368" w14:paraId="1BC04EB1" w14:textId="77777777">
        <w:trPr>
          <w:gridAfter w:val="1"/>
          <w:wAfter w:w="34" w:type="dxa"/>
          <w:trHeight w:val="1285"/>
        </w:trPr>
        <w:tc>
          <w:tcPr>
            <w:tcW w:w="1774" w:type="dxa"/>
            <w:gridSpan w:val="4"/>
            <w:tcBorders>
              <w:top w:val="nil"/>
              <w:left w:val="single" w:sz="8" w:space="0" w:color="auto"/>
              <w:bottom w:val="single" w:sz="4" w:space="0" w:color="auto"/>
              <w:right w:val="single" w:sz="4" w:space="0" w:color="auto"/>
            </w:tcBorders>
            <w:vAlign w:val="center"/>
          </w:tcPr>
          <w:p w14:paraId="491EBFAA" w14:textId="77777777" w:rsidR="00DD2510" w:rsidRPr="00247368" w:rsidRDefault="00DD2510" w:rsidP="002B78A5">
            <w:pPr>
              <w:suppressAutoHyphens w:val="0"/>
              <w:rPr>
                <w:rFonts w:ascii="Garamond" w:hAnsi="Garamond" w:cs="Garamond"/>
                <w:sz w:val="16"/>
                <w:szCs w:val="16"/>
                <w:lang w:eastAsia="zh-CN"/>
              </w:rPr>
            </w:pPr>
            <w:r w:rsidRPr="00247368">
              <w:rPr>
                <w:rFonts w:ascii="Garamond" w:hAnsi="Garamond" w:cs="Garamond"/>
                <w:b/>
                <w:bCs/>
                <w:sz w:val="16"/>
                <w:szCs w:val="16"/>
                <w:lang w:eastAsia="zh-CN"/>
              </w:rPr>
              <w:t xml:space="preserve">Zyskowności  netto   </w:t>
            </w:r>
            <w:r w:rsidRPr="00247368">
              <w:rPr>
                <w:rFonts w:ascii="Garamond" w:hAnsi="Garamond" w:cs="Garamond"/>
                <w:sz w:val="16"/>
                <w:szCs w:val="16"/>
                <w:lang w:eastAsia="zh-CN"/>
              </w:rPr>
              <w:t xml:space="preserve">                                                           </w:t>
            </w:r>
          </w:p>
        </w:tc>
        <w:tc>
          <w:tcPr>
            <w:tcW w:w="3501" w:type="dxa"/>
            <w:tcBorders>
              <w:top w:val="nil"/>
              <w:left w:val="nil"/>
              <w:bottom w:val="single" w:sz="4" w:space="0" w:color="auto"/>
              <w:right w:val="single" w:sz="4" w:space="0" w:color="auto"/>
            </w:tcBorders>
            <w:noWrap/>
            <w:vAlign w:val="bottom"/>
          </w:tcPr>
          <w:p w14:paraId="3BABAB95" w14:textId="77777777" w:rsidR="00DD2510" w:rsidRPr="00247368" w:rsidRDefault="00DD2510" w:rsidP="002B78A5">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070"/>
            </w:tblGrid>
            <w:tr w:rsidR="00DD2510" w:rsidRPr="00247368" w14:paraId="1740455E" w14:textId="77777777">
              <w:trPr>
                <w:trHeight w:val="1285"/>
                <w:tblCellSpacing w:w="0" w:type="dxa"/>
              </w:trPr>
              <w:tc>
                <w:tcPr>
                  <w:tcW w:w="3070" w:type="dxa"/>
                </w:tcPr>
                <w:tbl>
                  <w:tblPr>
                    <w:tblW w:w="0" w:type="auto"/>
                    <w:tblCellSpacing w:w="0" w:type="dxa"/>
                    <w:tblCellMar>
                      <w:left w:w="0" w:type="dxa"/>
                      <w:right w:w="0" w:type="dxa"/>
                    </w:tblCellMar>
                    <w:tblLook w:val="0000" w:firstRow="0" w:lastRow="0" w:firstColumn="0" w:lastColumn="0" w:noHBand="0" w:noVBand="0"/>
                  </w:tblPr>
                  <w:tblGrid>
                    <w:gridCol w:w="3070"/>
                  </w:tblGrid>
                  <w:tr w:rsidR="00DD2510" w:rsidRPr="00247368" w14:paraId="5C2E1213" w14:textId="77777777">
                    <w:trPr>
                      <w:trHeight w:val="1285"/>
                      <w:tblCellSpacing w:w="0" w:type="dxa"/>
                    </w:trPr>
                    <w:tc>
                      <w:tcPr>
                        <w:tcW w:w="3070" w:type="dxa"/>
                        <w:vAlign w:val="center"/>
                      </w:tcPr>
                      <w:p w14:paraId="43E25044" w14:textId="3985120B" w:rsidR="00DD2510" w:rsidRPr="00247368" w:rsidRDefault="007054FA" w:rsidP="008C423A">
                        <w:pPr>
                          <w:suppressAutoHyphens w:val="0"/>
                          <w:jc w:val="center"/>
                          <w:rPr>
                            <w:rFonts w:ascii="Garamond" w:hAnsi="Garamond" w:cs="Garamond"/>
                            <w:sz w:val="16"/>
                            <w:szCs w:val="16"/>
                            <w:lang w:eastAsia="zh-CN"/>
                          </w:rPr>
                        </w:pPr>
                        <w:r>
                          <w:rPr>
                            <w:noProof/>
                          </w:rPr>
                          <w:drawing>
                            <wp:anchor distT="0" distB="0" distL="114300" distR="114300" simplePos="0" relativeHeight="251657216" behindDoc="0" locked="0" layoutInCell="1" allowOverlap="1" wp14:anchorId="2457A529" wp14:editId="1B983710">
                              <wp:simplePos x="0" y="0"/>
                              <wp:positionH relativeFrom="column">
                                <wp:posOffset>23495</wp:posOffset>
                              </wp:positionH>
                              <wp:positionV relativeFrom="paragraph">
                                <wp:posOffset>128905</wp:posOffset>
                              </wp:positionV>
                              <wp:extent cx="1905000" cy="9525"/>
                              <wp:effectExtent l="0" t="0" r="0" b="0"/>
                              <wp:wrapNone/>
                              <wp:docPr id="3" name="Łącznik pros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Łącznik prosty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wynik netto  x  100%                                        przychody netto ze sprzedaży produktów                                 + przychody netto ze sprzedaży towarów                               i materiałów + pozostałe przychody operacyjne                     + przychody finansowe</w:t>
                        </w:r>
                      </w:p>
                    </w:tc>
                  </w:tr>
                </w:tbl>
                <w:p w14:paraId="6E7846C7" w14:textId="77777777" w:rsidR="00DD2510" w:rsidRPr="00247368" w:rsidRDefault="00DD2510" w:rsidP="008C423A">
                  <w:pPr>
                    <w:suppressAutoHyphens w:val="0"/>
                    <w:jc w:val="center"/>
                    <w:rPr>
                      <w:rFonts w:ascii="Garamond" w:hAnsi="Garamond" w:cs="Garamond"/>
                      <w:sz w:val="16"/>
                      <w:szCs w:val="16"/>
                      <w:lang w:eastAsia="zh-CN"/>
                    </w:rPr>
                  </w:pPr>
                </w:p>
              </w:tc>
            </w:tr>
          </w:tbl>
          <w:p w14:paraId="17B1F168" w14:textId="77777777" w:rsidR="00DD2510" w:rsidRPr="00247368" w:rsidRDefault="00DD2510" w:rsidP="002B78A5">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vAlign w:val="center"/>
          </w:tcPr>
          <w:p w14:paraId="2086D67C"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od 0,0% do 2,0 %                                             powyżej 2,0% do 4,0%                                                                                        powyżej 4,0%</w:t>
            </w:r>
          </w:p>
        </w:tc>
        <w:tc>
          <w:tcPr>
            <w:tcW w:w="901" w:type="dxa"/>
            <w:gridSpan w:val="3"/>
            <w:tcBorders>
              <w:top w:val="nil"/>
              <w:left w:val="nil"/>
              <w:bottom w:val="single" w:sz="4" w:space="0" w:color="auto"/>
              <w:right w:val="single" w:sz="4" w:space="0" w:color="auto"/>
            </w:tcBorders>
            <w:vAlign w:val="center"/>
          </w:tcPr>
          <w:p w14:paraId="6FDF134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single" w:sz="4" w:space="0" w:color="auto"/>
              <w:right w:val="single" w:sz="4" w:space="0" w:color="auto"/>
            </w:tcBorders>
            <w:noWrap/>
            <w:vAlign w:val="center"/>
          </w:tcPr>
          <w:p w14:paraId="5BF2BE5D" w14:textId="09B489FA"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-8,81%</w:t>
            </w:r>
          </w:p>
        </w:tc>
        <w:tc>
          <w:tcPr>
            <w:tcW w:w="992" w:type="dxa"/>
            <w:tcBorders>
              <w:top w:val="nil"/>
              <w:left w:val="nil"/>
              <w:bottom w:val="single" w:sz="4" w:space="0" w:color="auto"/>
              <w:right w:val="single" w:sz="4" w:space="0" w:color="auto"/>
            </w:tcBorders>
            <w:shd w:val="clear" w:color="000000" w:fill="FFFFFF"/>
            <w:vAlign w:val="center"/>
          </w:tcPr>
          <w:p w14:paraId="0A7DEB80" w14:textId="0E85FBDF"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37A44973" w14:textId="77777777">
        <w:trPr>
          <w:gridAfter w:val="1"/>
          <w:wAfter w:w="34" w:type="dxa"/>
          <w:trHeight w:val="1232"/>
        </w:trPr>
        <w:tc>
          <w:tcPr>
            <w:tcW w:w="1774" w:type="dxa"/>
            <w:gridSpan w:val="4"/>
            <w:tcBorders>
              <w:top w:val="single" w:sz="4" w:space="0" w:color="auto"/>
              <w:left w:val="single" w:sz="8" w:space="0" w:color="auto"/>
              <w:bottom w:val="single" w:sz="4" w:space="0" w:color="auto"/>
              <w:right w:val="single" w:sz="4" w:space="0" w:color="auto"/>
            </w:tcBorders>
            <w:vAlign w:val="center"/>
          </w:tcPr>
          <w:p w14:paraId="3B9790D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Zyskowności działalności operacyjnej             </w:t>
            </w:r>
          </w:p>
        </w:tc>
        <w:tc>
          <w:tcPr>
            <w:tcW w:w="3501" w:type="dxa"/>
            <w:tcBorders>
              <w:top w:val="single" w:sz="4" w:space="0" w:color="auto"/>
              <w:left w:val="nil"/>
              <w:bottom w:val="single" w:sz="4" w:space="0" w:color="auto"/>
              <w:right w:val="single" w:sz="4" w:space="0" w:color="auto"/>
            </w:tcBorders>
            <w:noWrap/>
            <w:vAlign w:val="bottom"/>
          </w:tcPr>
          <w:p w14:paraId="409BD528" w14:textId="77777777" w:rsidR="00DD2510" w:rsidRPr="00247368" w:rsidRDefault="00DD2510" w:rsidP="002B78A5">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070"/>
            </w:tblGrid>
            <w:tr w:rsidR="00DD2510" w:rsidRPr="00247368" w14:paraId="23158855" w14:textId="77777777">
              <w:trPr>
                <w:trHeight w:val="1232"/>
                <w:tblCellSpacing w:w="0" w:type="dxa"/>
              </w:trPr>
              <w:tc>
                <w:tcPr>
                  <w:tcW w:w="3070" w:type="dxa"/>
                  <w:vAlign w:val="center"/>
                </w:tcPr>
                <w:p w14:paraId="354D2597" w14:textId="5B6716B0" w:rsidR="00DD2510" w:rsidRPr="00247368" w:rsidRDefault="007054FA" w:rsidP="008C423A">
                  <w:pPr>
                    <w:suppressAutoHyphens w:val="0"/>
                    <w:jc w:val="center"/>
                    <w:rPr>
                      <w:rFonts w:ascii="Garamond" w:hAnsi="Garamond" w:cs="Garamond"/>
                      <w:sz w:val="16"/>
                      <w:szCs w:val="16"/>
                      <w:lang w:eastAsia="zh-CN"/>
                    </w:rPr>
                  </w:pPr>
                  <w:r>
                    <w:rPr>
                      <w:noProof/>
                    </w:rPr>
                    <w:drawing>
                      <wp:anchor distT="0" distB="0" distL="114300" distR="114300" simplePos="0" relativeHeight="251658240" behindDoc="0" locked="0" layoutInCell="1" allowOverlap="1" wp14:anchorId="5167E312" wp14:editId="4B8F817B">
                        <wp:simplePos x="0" y="0"/>
                        <wp:positionH relativeFrom="column">
                          <wp:posOffset>77470</wp:posOffset>
                        </wp:positionH>
                        <wp:positionV relativeFrom="paragraph">
                          <wp:posOffset>153670</wp:posOffset>
                        </wp:positionV>
                        <wp:extent cx="1952625" cy="9525"/>
                        <wp:effectExtent l="0" t="0" r="0" b="0"/>
                        <wp:wrapNone/>
                        <wp:docPr id="4" name="Obraz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wynik z działalności operacyjnej x 100%                                      przychody netto ze sprzedaży   produktów                                           + przychody netto ze sprzedaży towarów                             i materiałów + pozostałe przychody operacyjne</w:t>
                  </w:r>
                </w:p>
                <w:p w14:paraId="6BA7E553" w14:textId="77777777" w:rsidR="00DD2510" w:rsidRPr="00247368" w:rsidRDefault="00DD2510" w:rsidP="002B78A5">
                  <w:pPr>
                    <w:suppressAutoHyphens w:val="0"/>
                    <w:jc w:val="center"/>
                    <w:rPr>
                      <w:rFonts w:ascii="Garamond" w:hAnsi="Garamond" w:cs="Garamond"/>
                      <w:sz w:val="16"/>
                      <w:szCs w:val="16"/>
                      <w:lang w:eastAsia="zh-CN"/>
                    </w:rPr>
                  </w:pPr>
                </w:p>
              </w:tc>
            </w:tr>
          </w:tbl>
          <w:p w14:paraId="0C1BDD01" w14:textId="77777777" w:rsidR="00DD2510" w:rsidRPr="00247368" w:rsidRDefault="00DD2510" w:rsidP="002B78A5">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vAlign w:val="center"/>
          </w:tcPr>
          <w:p w14:paraId="23FA24B7"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od 0,0% do 3,0 %                                             powyżej 3,0% do 5,0%                                                                                        powyżej 5,0%</w:t>
            </w:r>
          </w:p>
        </w:tc>
        <w:tc>
          <w:tcPr>
            <w:tcW w:w="901" w:type="dxa"/>
            <w:gridSpan w:val="3"/>
            <w:tcBorders>
              <w:top w:val="nil"/>
              <w:left w:val="nil"/>
              <w:bottom w:val="single" w:sz="4" w:space="0" w:color="auto"/>
              <w:right w:val="single" w:sz="4" w:space="0" w:color="auto"/>
            </w:tcBorders>
            <w:vAlign w:val="center"/>
          </w:tcPr>
          <w:p w14:paraId="4E5F408B"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single" w:sz="4" w:space="0" w:color="auto"/>
              <w:right w:val="single" w:sz="4" w:space="0" w:color="auto"/>
            </w:tcBorders>
            <w:vAlign w:val="center"/>
          </w:tcPr>
          <w:p w14:paraId="373BF9F3" w14:textId="27EAA113"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-7,73</w:t>
            </w:r>
            <w:r w:rsidR="00DD2510" w:rsidRPr="00247368">
              <w:rPr>
                <w:rFonts w:ascii="Garamond" w:hAnsi="Garamond" w:cs="Garamond"/>
                <w:b/>
                <w:bCs/>
                <w:sz w:val="16"/>
                <w:szCs w:val="16"/>
                <w:lang w:eastAsia="zh-CN"/>
              </w:rPr>
              <w:t>%</w:t>
            </w:r>
          </w:p>
        </w:tc>
        <w:tc>
          <w:tcPr>
            <w:tcW w:w="992" w:type="dxa"/>
            <w:tcBorders>
              <w:top w:val="nil"/>
              <w:left w:val="nil"/>
              <w:bottom w:val="single" w:sz="4" w:space="0" w:color="auto"/>
              <w:right w:val="single" w:sz="4" w:space="0" w:color="auto"/>
            </w:tcBorders>
            <w:shd w:val="clear" w:color="000000" w:fill="FFFFFF"/>
            <w:vAlign w:val="center"/>
          </w:tcPr>
          <w:p w14:paraId="12F0B6DF" w14:textId="6EA15445"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64E243F4" w14:textId="77777777">
        <w:trPr>
          <w:gridAfter w:val="1"/>
          <w:wAfter w:w="34" w:type="dxa"/>
          <w:trHeight w:val="1015"/>
        </w:trPr>
        <w:tc>
          <w:tcPr>
            <w:tcW w:w="1774" w:type="dxa"/>
            <w:gridSpan w:val="4"/>
            <w:tcBorders>
              <w:top w:val="single" w:sz="4" w:space="0" w:color="auto"/>
              <w:left w:val="single" w:sz="8" w:space="0" w:color="auto"/>
              <w:bottom w:val="nil"/>
              <w:right w:val="single" w:sz="4" w:space="0" w:color="auto"/>
            </w:tcBorders>
            <w:vAlign w:val="center"/>
          </w:tcPr>
          <w:p w14:paraId="34A2A2B6"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Zyskowność aktywów</w:t>
            </w:r>
          </w:p>
        </w:tc>
        <w:tc>
          <w:tcPr>
            <w:tcW w:w="3501" w:type="dxa"/>
            <w:tcBorders>
              <w:top w:val="single" w:sz="4" w:space="0" w:color="auto"/>
              <w:left w:val="nil"/>
              <w:bottom w:val="nil"/>
              <w:right w:val="single" w:sz="4" w:space="0" w:color="auto"/>
            </w:tcBorders>
            <w:noWrap/>
            <w:vAlign w:val="bottom"/>
          </w:tcPr>
          <w:tbl>
            <w:tblPr>
              <w:tblW w:w="3460" w:type="dxa"/>
              <w:tblCellSpacing w:w="0" w:type="dxa"/>
              <w:tblCellMar>
                <w:left w:w="0" w:type="dxa"/>
                <w:right w:w="0" w:type="dxa"/>
              </w:tblCellMar>
              <w:tblLook w:val="0000" w:firstRow="0" w:lastRow="0" w:firstColumn="0" w:lastColumn="0" w:noHBand="0" w:noVBand="0"/>
            </w:tblPr>
            <w:tblGrid>
              <w:gridCol w:w="3460"/>
            </w:tblGrid>
            <w:tr w:rsidR="00DD2510" w:rsidRPr="00247368" w14:paraId="2D3D451F" w14:textId="77777777">
              <w:trPr>
                <w:trHeight w:val="833"/>
                <w:tblCellSpacing w:w="0" w:type="dxa"/>
              </w:trPr>
              <w:tc>
                <w:tcPr>
                  <w:tcW w:w="3460" w:type="dxa"/>
                  <w:vAlign w:val="center"/>
                </w:tcPr>
                <w:p w14:paraId="5E48E31A" w14:textId="5F376AB8" w:rsidR="00DD2510" w:rsidRPr="00247368" w:rsidRDefault="007054FA" w:rsidP="002B78A5">
                  <w:pPr>
                    <w:suppressAutoHyphens w:val="0"/>
                    <w:jc w:val="center"/>
                    <w:rPr>
                      <w:rFonts w:ascii="Garamond" w:hAnsi="Garamond" w:cs="Garamond"/>
                      <w:sz w:val="16"/>
                      <w:szCs w:val="16"/>
                      <w:lang w:eastAsia="zh-CN"/>
                    </w:rPr>
                  </w:pPr>
                  <w:r>
                    <w:rPr>
                      <w:noProof/>
                    </w:rPr>
                    <w:drawing>
                      <wp:anchor distT="0" distB="0" distL="114300" distR="114300" simplePos="0" relativeHeight="251653120" behindDoc="0" locked="0" layoutInCell="1" allowOverlap="1" wp14:anchorId="197F1254" wp14:editId="43062E9F">
                        <wp:simplePos x="0" y="0"/>
                        <wp:positionH relativeFrom="column">
                          <wp:posOffset>248920</wp:posOffset>
                        </wp:positionH>
                        <wp:positionV relativeFrom="paragraph">
                          <wp:posOffset>151130</wp:posOffset>
                        </wp:positionV>
                        <wp:extent cx="1476375" cy="9525"/>
                        <wp:effectExtent l="0" t="0" r="0" b="0"/>
                        <wp:wrapNone/>
                        <wp:docPr id="5" name="Obraz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wynik netto  x 100%                                                       Średni stan aktywów</w:t>
                  </w:r>
                </w:p>
              </w:tc>
            </w:tr>
          </w:tbl>
          <w:p w14:paraId="22918696" w14:textId="77777777" w:rsidR="00DD2510" w:rsidRPr="00247368" w:rsidRDefault="00DD2510" w:rsidP="002B78A5">
            <w:pPr>
              <w:suppressAutoHyphens w:val="0"/>
              <w:rPr>
                <w:rFonts w:ascii="Arial" w:hAnsi="Arial" w:cs="Arial"/>
                <w:sz w:val="20"/>
                <w:szCs w:val="20"/>
                <w:lang w:eastAsia="zh-CN"/>
              </w:rPr>
            </w:pPr>
          </w:p>
        </w:tc>
        <w:tc>
          <w:tcPr>
            <w:tcW w:w="1803" w:type="dxa"/>
            <w:tcBorders>
              <w:top w:val="nil"/>
              <w:left w:val="single" w:sz="4" w:space="0" w:color="auto"/>
              <w:bottom w:val="nil"/>
              <w:right w:val="single" w:sz="4" w:space="0" w:color="auto"/>
            </w:tcBorders>
            <w:vAlign w:val="center"/>
          </w:tcPr>
          <w:p w14:paraId="43E4F78B"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powyżej 0,0% do 2,0 %                                             powyżej 2,0% do 4,0%                                                                                        powyżej 4,0%</w:t>
            </w:r>
          </w:p>
        </w:tc>
        <w:tc>
          <w:tcPr>
            <w:tcW w:w="901" w:type="dxa"/>
            <w:gridSpan w:val="3"/>
            <w:tcBorders>
              <w:top w:val="nil"/>
              <w:left w:val="nil"/>
              <w:bottom w:val="nil"/>
              <w:right w:val="single" w:sz="4" w:space="0" w:color="auto"/>
            </w:tcBorders>
            <w:vAlign w:val="center"/>
          </w:tcPr>
          <w:p w14:paraId="41F95B2D"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nil"/>
              <w:right w:val="single" w:sz="4" w:space="0" w:color="auto"/>
            </w:tcBorders>
            <w:shd w:val="clear" w:color="000000" w:fill="FFFFFF"/>
            <w:vAlign w:val="center"/>
          </w:tcPr>
          <w:p w14:paraId="162B925C" w14:textId="6F348F23" w:rsidR="00DD2510" w:rsidRPr="00D10E46"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-13,54</w:t>
            </w:r>
            <w:r w:rsidR="00DD2510">
              <w:rPr>
                <w:rFonts w:ascii="Garamond" w:hAnsi="Garamond" w:cs="Garamond"/>
                <w:b/>
                <w:bCs/>
                <w:sz w:val="16"/>
                <w:szCs w:val="16"/>
                <w:lang w:eastAsia="zh-CN"/>
              </w:rPr>
              <w:t>%</w:t>
            </w:r>
          </w:p>
        </w:tc>
        <w:tc>
          <w:tcPr>
            <w:tcW w:w="992" w:type="dxa"/>
            <w:tcBorders>
              <w:top w:val="nil"/>
              <w:left w:val="nil"/>
              <w:bottom w:val="single" w:sz="4" w:space="0" w:color="auto"/>
              <w:right w:val="single" w:sz="4" w:space="0" w:color="auto"/>
            </w:tcBorders>
            <w:shd w:val="clear" w:color="000000" w:fill="FFFFFF"/>
            <w:vAlign w:val="center"/>
          </w:tcPr>
          <w:p w14:paraId="209A9210" w14:textId="72C52E2B"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2F5DDDD1" w14:textId="77777777">
        <w:trPr>
          <w:gridAfter w:val="1"/>
          <w:wAfter w:w="34" w:type="dxa"/>
          <w:trHeight w:val="418"/>
        </w:trPr>
        <w:tc>
          <w:tcPr>
            <w:tcW w:w="5275" w:type="dxa"/>
            <w:gridSpan w:val="5"/>
            <w:tcBorders>
              <w:top w:val="single" w:sz="8" w:space="0" w:color="auto"/>
              <w:left w:val="single" w:sz="8" w:space="0" w:color="auto"/>
              <w:bottom w:val="single" w:sz="8" w:space="0" w:color="auto"/>
              <w:right w:val="nil"/>
            </w:tcBorders>
            <w:shd w:val="clear" w:color="000000" w:fill="FF9900"/>
            <w:noWrap/>
            <w:vAlign w:val="center"/>
          </w:tcPr>
          <w:p w14:paraId="5755E7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ZYSKOWNOŚCI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15923C4F"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2620547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15</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4154B0FF"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92" w:type="dxa"/>
            <w:tcBorders>
              <w:top w:val="single" w:sz="8" w:space="0" w:color="auto"/>
              <w:left w:val="single" w:sz="4" w:space="0" w:color="auto"/>
              <w:bottom w:val="single" w:sz="8" w:space="0" w:color="auto"/>
              <w:right w:val="single" w:sz="8" w:space="0" w:color="auto"/>
            </w:tcBorders>
            <w:shd w:val="clear" w:color="000000" w:fill="FF9900"/>
            <w:vAlign w:val="center"/>
          </w:tcPr>
          <w:p w14:paraId="6916EBB8" w14:textId="56A6F15D"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2102C1B8" w14:textId="77777777">
        <w:trPr>
          <w:gridAfter w:val="1"/>
          <w:wAfter w:w="34" w:type="dxa"/>
          <w:trHeight w:val="418"/>
        </w:trPr>
        <w:tc>
          <w:tcPr>
            <w:tcW w:w="5275" w:type="dxa"/>
            <w:gridSpan w:val="5"/>
            <w:tcBorders>
              <w:top w:val="single" w:sz="8" w:space="0" w:color="auto"/>
              <w:left w:val="single" w:sz="8" w:space="0" w:color="auto"/>
              <w:bottom w:val="single" w:sz="8" w:space="0" w:color="auto"/>
              <w:right w:val="nil"/>
            </w:tcBorders>
            <w:shd w:val="clear" w:color="000000" w:fill="FF9900"/>
            <w:noWrap/>
          </w:tcPr>
          <w:p w14:paraId="3F136AF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II.     WSKAŹNIKI PŁYNNOŚCI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66FAC5D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3D83BF17"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024698D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92" w:type="dxa"/>
            <w:tcBorders>
              <w:top w:val="single" w:sz="8" w:space="0" w:color="auto"/>
              <w:left w:val="single" w:sz="4" w:space="0" w:color="auto"/>
              <w:bottom w:val="single" w:sz="8" w:space="0" w:color="auto"/>
              <w:right w:val="single" w:sz="8" w:space="0" w:color="auto"/>
            </w:tcBorders>
            <w:shd w:val="clear" w:color="000000" w:fill="FF9900"/>
            <w:vAlign w:val="center"/>
          </w:tcPr>
          <w:p w14:paraId="6963495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DD2510" w:rsidRPr="00247368" w14:paraId="70C0668D" w14:textId="77777777">
        <w:trPr>
          <w:gridAfter w:val="1"/>
          <w:wAfter w:w="34" w:type="dxa"/>
          <w:trHeight w:val="1896"/>
        </w:trPr>
        <w:tc>
          <w:tcPr>
            <w:tcW w:w="1759" w:type="dxa"/>
            <w:gridSpan w:val="3"/>
            <w:tcBorders>
              <w:top w:val="nil"/>
              <w:left w:val="single" w:sz="8" w:space="0" w:color="auto"/>
              <w:bottom w:val="single" w:sz="4" w:space="0" w:color="auto"/>
              <w:right w:val="single" w:sz="4" w:space="0" w:color="auto"/>
            </w:tcBorders>
            <w:vAlign w:val="center"/>
          </w:tcPr>
          <w:p w14:paraId="01CE7229"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Płynności bieżącej</w:t>
            </w:r>
          </w:p>
        </w:tc>
        <w:tc>
          <w:tcPr>
            <w:tcW w:w="3516" w:type="dxa"/>
            <w:gridSpan w:val="2"/>
            <w:tcBorders>
              <w:top w:val="nil"/>
              <w:left w:val="nil"/>
              <w:bottom w:val="single" w:sz="4" w:space="0" w:color="auto"/>
              <w:right w:val="single" w:sz="4" w:space="0" w:color="auto"/>
            </w:tcBorders>
            <w:noWrap/>
            <w:vAlign w:val="bottom"/>
          </w:tcPr>
          <w:p w14:paraId="67FE38DA" w14:textId="77777777" w:rsidR="00DD2510" w:rsidRPr="00247368" w:rsidRDefault="00DD2510" w:rsidP="002B78A5">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325"/>
            </w:tblGrid>
            <w:tr w:rsidR="00DD2510" w:rsidRPr="00247368" w14:paraId="5E695B5A" w14:textId="77777777">
              <w:trPr>
                <w:trHeight w:val="2624"/>
                <w:tblCellSpacing w:w="0" w:type="dxa"/>
              </w:trPr>
              <w:tc>
                <w:tcPr>
                  <w:tcW w:w="3325" w:type="dxa"/>
                  <w:vAlign w:val="center"/>
                </w:tcPr>
                <w:p w14:paraId="1ED7F89D" w14:textId="264937B1" w:rsidR="00DD2510" w:rsidRPr="00247368" w:rsidRDefault="007054FA" w:rsidP="002B78A5">
                  <w:pPr>
                    <w:suppressAutoHyphens w:val="0"/>
                    <w:jc w:val="center"/>
                    <w:rPr>
                      <w:rFonts w:ascii="Garamond" w:hAnsi="Garamond" w:cs="Garamond"/>
                      <w:sz w:val="16"/>
                      <w:szCs w:val="16"/>
                      <w:lang w:eastAsia="zh-CN"/>
                    </w:rPr>
                  </w:pPr>
                  <w:r>
                    <w:rPr>
                      <w:noProof/>
                    </w:rPr>
                    <w:drawing>
                      <wp:anchor distT="0" distB="0" distL="114300" distR="114300" simplePos="0" relativeHeight="251654144" behindDoc="0" locked="0" layoutInCell="1" allowOverlap="1" wp14:anchorId="3AEEE826" wp14:editId="16C5332E">
                        <wp:simplePos x="0" y="0"/>
                        <wp:positionH relativeFrom="column">
                          <wp:posOffset>96520</wp:posOffset>
                        </wp:positionH>
                        <wp:positionV relativeFrom="paragraph">
                          <wp:posOffset>674370</wp:posOffset>
                        </wp:positionV>
                        <wp:extent cx="2009775" cy="9525"/>
                        <wp:effectExtent l="0" t="0" r="0" b="0"/>
                        <wp:wrapNone/>
                        <wp:docPr id="6" name="Obraz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aktywa obrotowe - należności krótkoterminowe                       z tytułu dostaw i usług, o okresie spłaty powyżej 12 miesięcy - krótkoterminowe rozliczenia międzyokresowe (czynne)                                                                                                                 zobowiązania krótkoterminowe - zobowiązania                    z tytułu dostaw i usług, o okresie wymagalności powyżej 12  miesięcy + rezerwy na zobowiązania krótkoterminowe</w:t>
                  </w:r>
                </w:p>
              </w:tc>
            </w:tr>
          </w:tbl>
          <w:p w14:paraId="0AE26E01" w14:textId="77777777" w:rsidR="00DD2510" w:rsidRPr="00247368" w:rsidRDefault="00DD2510" w:rsidP="002B78A5">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tcPr>
          <w:p w14:paraId="2BA2DBD4"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w:t>
            </w:r>
          </w:p>
          <w:p w14:paraId="21D82816"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0,6                                     od 0,60 do 1,00                              powyżej 1,00 do 1,50                                             powyżej 1,5 do 3,00                                                                                        powyżej 3,00 lub jeżeli zobowiązania krótkoterminowe = 0 zł</w:t>
            </w:r>
          </w:p>
        </w:tc>
        <w:tc>
          <w:tcPr>
            <w:tcW w:w="901" w:type="dxa"/>
            <w:gridSpan w:val="3"/>
            <w:tcBorders>
              <w:top w:val="nil"/>
              <w:left w:val="nil"/>
              <w:bottom w:val="single" w:sz="4" w:space="0" w:color="auto"/>
              <w:right w:val="single" w:sz="4" w:space="0" w:color="auto"/>
            </w:tcBorders>
          </w:tcPr>
          <w:p w14:paraId="7C86A62F" w14:textId="77777777" w:rsidR="00DD2510" w:rsidRPr="00247368" w:rsidRDefault="00DD2510" w:rsidP="002B78A5">
            <w:pPr>
              <w:suppressAutoHyphens w:val="0"/>
              <w:jc w:val="center"/>
              <w:rPr>
                <w:rFonts w:ascii="Garamond" w:hAnsi="Garamond" w:cs="Garamond"/>
                <w:sz w:val="16"/>
                <w:szCs w:val="16"/>
                <w:lang w:eastAsia="zh-CN"/>
              </w:rPr>
            </w:pPr>
          </w:p>
          <w:p w14:paraId="54A2633E" w14:textId="77777777" w:rsidR="00DD2510" w:rsidRPr="00247368" w:rsidRDefault="00DD2510" w:rsidP="002B78A5">
            <w:pPr>
              <w:suppressAutoHyphens w:val="0"/>
              <w:jc w:val="center"/>
              <w:rPr>
                <w:rFonts w:ascii="Garamond" w:hAnsi="Garamond" w:cs="Garamond"/>
                <w:sz w:val="16"/>
                <w:szCs w:val="16"/>
                <w:lang w:eastAsia="zh-CN"/>
              </w:rPr>
            </w:pPr>
          </w:p>
          <w:p w14:paraId="74C61943"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0                          4                                                    8                             </w:t>
            </w:r>
            <w:r w:rsidRPr="00247368">
              <w:rPr>
                <w:rFonts w:ascii="Garamond" w:hAnsi="Garamond" w:cs="Garamond"/>
                <w:b/>
                <w:bCs/>
                <w:sz w:val="16"/>
                <w:szCs w:val="16"/>
                <w:lang w:eastAsia="zh-CN"/>
              </w:rPr>
              <w:t xml:space="preserve">12  </w:t>
            </w:r>
            <w:r w:rsidRPr="00247368">
              <w:rPr>
                <w:rFonts w:ascii="Garamond" w:hAnsi="Garamond" w:cs="Garamond"/>
                <w:sz w:val="16"/>
                <w:szCs w:val="16"/>
                <w:lang w:eastAsia="zh-CN"/>
              </w:rPr>
              <w:t xml:space="preserve">                                                                  10</w:t>
            </w:r>
          </w:p>
        </w:tc>
        <w:tc>
          <w:tcPr>
            <w:tcW w:w="820" w:type="dxa"/>
            <w:tcBorders>
              <w:top w:val="nil"/>
              <w:left w:val="nil"/>
              <w:bottom w:val="single" w:sz="4" w:space="0" w:color="auto"/>
              <w:right w:val="single" w:sz="4" w:space="0" w:color="auto"/>
            </w:tcBorders>
            <w:vAlign w:val="center"/>
          </w:tcPr>
          <w:p w14:paraId="6EC41413" w14:textId="4A947E5F"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r w:rsidR="00310CC9">
              <w:rPr>
                <w:rFonts w:ascii="Garamond" w:hAnsi="Garamond" w:cs="Garamond"/>
                <w:b/>
                <w:bCs/>
                <w:sz w:val="16"/>
                <w:szCs w:val="16"/>
                <w:lang w:eastAsia="zh-CN"/>
              </w:rPr>
              <w:t>47</w:t>
            </w:r>
          </w:p>
        </w:tc>
        <w:tc>
          <w:tcPr>
            <w:tcW w:w="992" w:type="dxa"/>
            <w:tcBorders>
              <w:top w:val="nil"/>
              <w:left w:val="nil"/>
              <w:bottom w:val="single" w:sz="4" w:space="0" w:color="auto"/>
              <w:right w:val="single" w:sz="4" w:space="0" w:color="auto"/>
            </w:tcBorders>
            <w:shd w:val="clear" w:color="000000" w:fill="FFFFFF"/>
            <w:vAlign w:val="center"/>
          </w:tcPr>
          <w:p w14:paraId="73431D1A"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p>
        </w:tc>
      </w:tr>
      <w:tr w:rsidR="00DD2510" w:rsidRPr="00247368" w14:paraId="0188D534" w14:textId="77777777">
        <w:trPr>
          <w:gridAfter w:val="1"/>
          <w:wAfter w:w="34" w:type="dxa"/>
          <w:trHeight w:val="1896"/>
        </w:trPr>
        <w:tc>
          <w:tcPr>
            <w:tcW w:w="1759" w:type="dxa"/>
            <w:gridSpan w:val="3"/>
            <w:tcBorders>
              <w:top w:val="single" w:sz="4" w:space="0" w:color="auto"/>
              <w:left w:val="single" w:sz="8" w:space="0" w:color="auto"/>
              <w:bottom w:val="single" w:sz="4" w:space="0" w:color="auto"/>
              <w:right w:val="single" w:sz="4" w:space="0" w:color="auto"/>
            </w:tcBorders>
            <w:vAlign w:val="center"/>
          </w:tcPr>
          <w:p w14:paraId="202B3605"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Płynności szybkiej</w:t>
            </w:r>
          </w:p>
        </w:tc>
        <w:tc>
          <w:tcPr>
            <w:tcW w:w="3516" w:type="dxa"/>
            <w:gridSpan w:val="2"/>
            <w:tcBorders>
              <w:top w:val="single" w:sz="4" w:space="0" w:color="auto"/>
              <w:left w:val="nil"/>
              <w:bottom w:val="nil"/>
              <w:right w:val="single" w:sz="4" w:space="0" w:color="auto"/>
            </w:tcBorders>
            <w:noWrap/>
            <w:vAlign w:val="bottom"/>
          </w:tcPr>
          <w:tbl>
            <w:tblPr>
              <w:tblpPr w:leftFromText="141" w:rightFromText="141" w:vertAnchor="text" w:horzAnchor="margin" w:tblpY="-84"/>
              <w:tblOverlap w:val="never"/>
              <w:tblW w:w="0" w:type="auto"/>
              <w:tblCellSpacing w:w="0" w:type="dxa"/>
              <w:tblCellMar>
                <w:left w:w="0" w:type="dxa"/>
                <w:right w:w="0" w:type="dxa"/>
              </w:tblCellMar>
              <w:tblLook w:val="0000" w:firstRow="0" w:lastRow="0" w:firstColumn="0" w:lastColumn="0" w:noHBand="0" w:noVBand="0"/>
            </w:tblPr>
            <w:tblGrid>
              <w:gridCol w:w="3203"/>
            </w:tblGrid>
            <w:tr w:rsidR="00DD2510" w:rsidRPr="00247368" w14:paraId="654A88B4" w14:textId="77777777">
              <w:trPr>
                <w:trHeight w:val="2728"/>
                <w:tblCellSpacing w:w="0" w:type="dxa"/>
              </w:trPr>
              <w:tc>
                <w:tcPr>
                  <w:tcW w:w="3203" w:type="dxa"/>
                  <w:shd w:val="clear" w:color="000000" w:fill="FFFFFF"/>
                  <w:vAlign w:val="center"/>
                </w:tcPr>
                <w:p w14:paraId="34C42EF7" w14:textId="6D5173D6" w:rsidR="00DD2510" w:rsidRPr="00247368" w:rsidRDefault="007054FA" w:rsidP="00925CF6">
                  <w:pPr>
                    <w:suppressAutoHyphens w:val="0"/>
                    <w:jc w:val="center"/>
                    <w:rPr>
                      <w:rFonts w:ascii="Garamond" w:hAnsi="Garamond" w:cs="Garamond"/>
                      <w:sz w:val="16"/>
                      <w:szCs w:val="16"/>
                      <w:lang w:eastAsia="zh-CN"/>
                    </w:rPr>
                  </w:pPr>
                  <w:r>
                    <w:rPr>
                      <w:noProof/>
                    </w:rPr>
                    <w:drawing>
                      <wp:anchor distT="0" distB="0" distL="114300" distR="114300" simplePos="0" relativeHeight="251662336" behindDoc="0" locked="0" layoutInCell="1" allowOverlap="1" wp14:anchorId="7A4CC627" wp14:editId="541CBB7C">
                        <wp:simplePos x="0" y="0"/>
                        <wp:positionH relativeFrom="column">
                          <wp:posOffset>172720</wp:posOffset>
                        </wp:positionH>
                        <wp:positionV relativeFrom="paragraph">
                          <wp:posOffset>642620</wp:posOffset>
                        </wp:positionV>
                        <wp:extent cx="1809750" cy="9525"/>
                        <wp:effectExtent l="0" t="0" r="0" b="0"/>
                        <wp:wrapNone/>
                        <wp:docPr id="7" name="Obraz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aktywa obrotowe - należności krótkoterminowe                          z tytułu dostaw i usług, o okresie spłaty powyżej 12 miesięcy - krótkoterminowe rozliczenia międzyokresowe (czynne) - zapasy                                            zobowiązania krótkoterminowe - zobowiązania                               z tytułu dostaw i usług, o okresie wymagalności powyżej 12 miesięcy + rezerwy na zobowiązania krótkoterminowe</w:t>
                  </w:r>
                </w:p>
              </w:tc>
            </w:tr>
          </w:tbl>
          <w:p w14:paraId="776B4C76" w14:textId="77777777" w:rsidR="00DD2510" w:rsidRPr="00247368" w:rsidRDefault="00DD2510" w:rsidP="002B78A5">
            <w:pPr>
              <w:suppressAutoHyphens w:val="0"/>
              <w:rPr>
                <w:rFonts w:ascii="Arial" w:hAnsi="Arial" w:cs="Arial"/>
                <w:sz w:val="20"/>
                <w:szCs w:val="20"/>
                <w:lang w:eastAsia="zh-CN"/>
              </w:rPr>
            </w:pPr>
          </w:p>
          <w:p w14:paraId="6A613A5C" w14:textId="77777777" w:rsidR="00DD2510" w:rsidRPr="00247368" w:rsidRDefault="00DD2510" w:rsidP="002B78A5">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shd w:val="clear" w:color="000000" w:fill="FFFFFF"/>
          </w:tcPr>
          <w:p w14:paraId="2F08C00D"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w:t>
            </w:r>
          </w:p>
          <w:p w14:paraId="7DBC8A63"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0,50                                    powyżej 0,50 do 1,00                                             powyżej 1,00 do 2,50                                                                                       powyżej 2,50 lub jeżeli zobowiązania krótkoterminowe = 0 zł</w:t>
            </w:r>
          </w:p>
        </w:tc>
        <w:tc>
          <w:tcPr>
            <w:tcW w:w="901" w:type="dxa"/>
            <w:gridSpan w:val="3"/>
            <w:tcBorders>
              <w:top w:val="nil"/>
              <w:left w:val="nil"/>
              <w:bottom w:val="single" w:sz="4" w:space="0" w:color="auto"/>
              <w:right w:val="single" w:sz="4" w:space="0" w:color="auto"/>
            </w:tcBorders>
          </w:tcPr>
          <w:p w14:paraId="4515E5BC" w14:textId="77777777" w:rsidR="00DD2510" w:rsidRPr="00247368" w:rsidRDefault="00DD2510" w:rsidP="002B78A5">
            <w:pPr>
              <w:suppressAutoHyphens w:val="0"/>
              <w:jc w:val="center"/>
              <w:rPr>
                <w:rFonts w:ascii="Garamond" w:hAnsi="Garamond" w:cs="Garamond"/>
                <w:sz w:val="16"/>
                <w:szCs w:val="16"/>
                <w:lang w:eastAsia="zh-CN"/>
              </w:rPr>
            </w:pPr>
          </w:p>
          <w:p w14:paraId="741B3B2E" w14:textId="77777777" w:rsidR="00DD2510" w:rsidRPr="00247368" w:rsidRDefault="00DD2510" w:rsidP="002B78A5">
            <w:pPr>
              <w:suppressAutoHyphens w:val="0"/>
              <w:jc w:val="center"/>
              <w:rPr>
                <w:rFonts w:ascii="Garamond" w:hAnsi="Garamond" w:cs="Garamond"/>
                <w:sz w:val="16"/>
                <w:szCs w:val="16"/>
                <w:lang w:eastAsia="zh-CN"/>
              </w:rPr>
            </w:pPr>
          </w:p>
          <w:p w14:paraId="53BA4467"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0                          8                             </w:t>
            </w:r>
            <w:r w:rsidRPr="00247368">
              <w:rPr>
                <w:rFonts w:ascii="Garamond" w:hAnsi="Garamond" w:cs="Garamond"/>
                <w:b/>
                <w:bCs/>
                <w:sz w:val="16"/>
                <w:szCs w:val="16"/>
                <w:lang w:eastAsia="zh-CN"/>
              </w:rPr>
              <w:t xml:space="preserve">13 </w:t>
            </w:r>
            <w:r w:rsidRPr="00247368">
              <w:rPr>
                <w:rFonts w:ascii="Garamond" w:hAnsi="Garamond" w:cs="Garamond"/>
                <w:sz w:val="16"/>
                <w:szCs w:val="16"/>
                <w:lang w:eastAsia="zh-CN"/>
              </w:rPr>
              <w:t xml:space="preserve">                                                                   10</w:t>
            </w:r>
          </w:p>
        </w:tc>
        <w:tc>
          <w:tcPr>
            <w:tcW w:w="820" w:type="dxa"/>
            <w:tcBorders>
              <w:top w:val="nil"/>
              <w:left w:val="nil"/>
              <w:bottom w:val="single" w:sz="4" w:space="0" w:color="auto"/>
              <w:right w:val="single" w:sz="4" w:space="0" w:color="auto"/>
            </w:tcBorders>
            <w:vAlign w:val="center"/>
          </w:tcPr>
          <w:p w14:paraId="2BDF0474" w14:textId="2C7027BF"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0,4</w:t>
            </w:r>
            <w:r w:rsidR="00310CC9">
              <w:rPr>
                <w:rFonts w:ascii="Garamond" w:hAnsi="Garamond" w:cs="Garamond"/>
                <w:b/>
                <w:bCs/>
                <w:sz w:val="16"/>
                <w:szCs w:val="16"/>
                <w:lang w:eastAsia="zh-CN"/>
              </w:rPr>
              <w:t>3</w:t>
            </w:r>
          </w:p>
        </w:tc>
        <w:tc>
          <w:tcPr>
            <w:tcW w:w="992" w:type="dxa"/>
            <w:tcBorders>
              <w:top w:val="nil"/>
              <w:left w:val="nil"/>
              <w:bottom w:val="single" w:sz="4" w:space="0" w:color="auto"/>
              <w:right w:val="single" w:sz="4" w:space="0" w:color="auto"/>
            </w:tcBorders>
            <w:shd w:val="clear" w:color="000000" w:fill="FFFFFF"/>
            <w:vAlign w:val="center"/>
          </w:tcPr>
          <w:p w14:paraId="25BA923C"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p>
        </w:tc>
      </w:tr>
      <w:tr w:rsidR="00DD2510" w:rsidRPr="00247368" w14:paraId="56F47707" w14:textId="77777777">
        <w:trPr>
          <w:gridAfter w:val="1"/>
          <w:wAfter w:w="34" w:type="dxa"/>
          <w:trHeight w:val="351"/>
        </w:trPr>
        <w:tc>
          <w:tcPr>
            <w:tcW w:w="5275" w:type="dxa"/>
            <w:gridSpan w:val="5"/>
            <w:tcBorders>
              <w:top w:val="single" w:sz="8" w:space="0" w:color="auto"/>
              <w:left w:val="single" w:sz="4" w:space="0" w:color="auto"/>
              <w:bottom w:val="single" w:sz="8" w:space="0" w:color="auto"/>
              <w:right w:val="nil"/>
            </w:tcBorders>
            <w:shd w:val="clear" w:color="000000" w:fill="FF9900"/>
            <w:noWrap/>
            <w:vAlign w:val="center"/>
          </w:tcPr>
          <w:p w14:paraId="7967D15A"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PŁYNNOŚCI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1ED7630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47FE05BD"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25</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772EFE78"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92" w:type="dxa"/>
            <w:tcBorders>
              <w:top w:val="single" w:sz="8" w:space="0" w:color="auto"/>
              <w:left w:val="single" w:sz="4" w:space="0" w:color="auto"/>
              <w:bottom w:val="single" w:sz="8" w:space="0" w:color="auto"/>
              <w:right w:val="single" w:sz="8" w:space="0" w:color="auto"/>
            </w:tcBorders>
            <w:shd w:val="clear" w:color="000000" w:fill="FF9900"/>
            <w:vAlign w:val="center"/>
          </w:tcPr>
          <w:p w14:paraId="60E5477D"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p>
        </w:tc>
      </w:tr>
      <w:tr w:rsidR="00DD2510" w:rsidRPr="00247368" w14:paraId="0A211DE4" w14:textId="77777777">
        <w:trPr>
          <w:gridAfter w:val="1"/>
          <w:wAfter w:w="34" w:type="dxa"/>
          <w:trHeight w:val="352"/>
        </w:trPr>
        <w:tc>
          <w:tcPr>
            <w:tcW w:w="9791" w:type="dxa"/>
            <w:gridSpan w:val="11"/>
            <w:tcBorders>
              <w:top w:val="single" w:sz="4" w:space="0" w:color="auto"/>
              <w:left w:val="single" w:sz="4" w:space="0" w:color="auto"/>
              <w:bottom w:val="single" w:sz="4" w:space="0" w:color="auto"/>
              <w:right w:val="single" w:sz="4" w:space="0" w:color="auto"/>
            </w:tcBorders>
            <w:shd w:val="clear" w:color="000000" w:fill="969696"/>
            <w:noWrap/>
            <w:vAlign w:val="center"/>
          </w:tcPr>
          <w:p w14:paraId="7B87219A"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lastRenderedPageBreak/>
              <w:t>III.     WSKAŹNIKI EFEKTYWNOŚCI</w:t>
            </w:r>
          </w:p>
        </w:tc>
      </w:tr>
      <w:tr w:rsidR="00DD2510" w:rsidRPr="00247368" w14:paraId="6A605D4C" w14:textId="77777777">
        <w:trPr>
          <w:gridAfter w:val="1"/>
          <w:wAfter w:w="34" w:type="dxa"/>
          <w:trHeight w:val="1058"/>
        </w:trPr>
        <w:tc>
          <w:tcPr>
            <w:tcW w:w="1774" w:type="dxa"/>
            <w:gridSpan w:val="4"/>
            <w:tcBorders>
              <w:top w:val="single" w:sz="4" w:space="0" w:color="auto"/>
              <w:left w:val="single" w:sz="8" w:space="0" w:color="auto"/>
              <w:bottom w:val="single" w:sz="4" w:space="0" w:color="auto"/>
              <w:right w:val="single" w:sz="4" w:space="0" w:color="auto"/>
            </w:tcBorders>
            <w:vAlign w:val="center"/>
          </w:tcPr>
          <w:p w14:paraId="33845A9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Rotacji należności                             (w dniach)</w:t>
            </w:r>
          </w:p>
        </w:tc>
        <w:tc>
          <w:tcPr>
            <w:tcW w:w="3501" w:type="dxa"/>
            <w:tcBorders>
              <w:top w:val="single" w:sz="4" w:space="0" w:color="auto"/>
              <w:left w:val="nil"/>
              <w:bottom w:val="single" w:sz="4" w:space="0" w:color="auto"/>
              <w:right w:val="single" w:sz="4" w:space="0" w:color="auto"/>
            </w:tcBorders>
            <w:noWrap/>
            <w:vAlign w:val="bottom"/>
          </w:tcPr>
          <w:p w14:paraId="779342FD" w14:textId="7B158445" w:rsidR="00DD2510" w:rsidRPr="00247368" w:rsidRDefault="007054FA" w:rsidP="002B78A5">
            <w:pPr>
              <w:suppressAutoHyphens w:val="0"/>
              <w:rPr>
                <w:rFonts w:ascii="Arial" w:hAnsi="Arial" w:cs="Arial"/>
                <w:sz w:val="20"/>
                <w:szCs w:val="20"/>
                <w:lang w:eastAsia="zh-CN"/>
              </w:rPr>
            </w:pPr>
            <w:r>
              <w:rPr>
                <w:noProof/>
              </w:rPr>
              <w:drawing>
                <wp:anchor distT="0" distB="0" distL="114300" distR="114300" simplePos="0" relativeHeight="251655168" behindDoc="0" locked="0" layoutInCell="1" allowOverlap="1" wp14:anchorId="6E5AC9E4" wp14:editId="50AF95E0">
                  <wp:simplePos x="0" y="0"/>
                  <wp:positionH relativeFrom="column">
                    <wp:posOffset>-43180</wp:posOffset>
                  </wp:positionH>
                  <wp:positionV relativeFrom="paragraph">
                    <wp:posOffset>628015</wp:posOffset>
                  </wp:positionV>
                  <wp:extent cx="1924050" cy="0"/>
                  <wp:effectExtent l="0" t="0" r="0" b="0"/>
                  <wp:wrapNone/>
                  <wp:docPr id="8" name="Obraz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3123"/>
            </w:tblGrid>
            <w:tr w:rsidR="00DD2510" w:rsidRPr="00247368" w14:paraId="6514EDBA" w14:textId="77777777">
              <w:trPr>
                <w:trHeight w:val="1746"/>
                <w:tblCellSpacing w:w="0" w:type="dxa"/>
              </w:trPr>
              <w:tc>
                <w:tcPr>
                  <w:tcW w:w="3123" w:type="dxa"/>
                  <w:vAlign w:val="center"/>
                </w:tcPr>
                <w:p w14:paraId="677DEDB4"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średni stan należności z tytułu dostaw i usług                              x liczba dni  w okresie (365)                                           przychody netto ze sprzedaży produktów                                      + przychody netto ze sprzedaży towarów                                  i materiałów </w:t>
                  </w:r>
                </w:p>
              </w:tc>
            </w:tr>
          </w:tbl>
          <w:p w14:paraId="6EF0E284" w14:textId="77777777" w:rsidR="00DD2510" w:rsidRPr="00247368" w:rsidRDefault="00DD2510" w:rsidP="002B78A5">
            <w:pPr>
              <w:suppressAutoHyphens w:val="0"/>
              <w:rPr>
                <w:rFonts w:ascii="Arial" w:hAnsi="Arial" w:cs="Arial"/>
                <w:sz w:val="20"/>
                <w:szCs w:val="20"/>
                <w:lang w:eastAsia="zh-CN"/>
              </w:rPr>
            </w:pPr>
          </w:p>
        </w:tc>
        <w:tc>
          <w:tcPr>
            <w:tcW w:w="1803" w:type="dxa"/>
            <w:tcBorders>
              <w:top w:val="single" w:sz="4" w:space="0" w:color="auto"/>
              <w:left w:val="single" w:sz="4" w:space="0" w:color="auto"/>
              <w:bottom w:val="single" w:sz="4" w:space="0" w:color="auto"/>
              <w:right w:val="single" w:sz="4" w:space="0" w:color="auto"/>
            </w:tcBorders>
            <w:vAlign w:val="center"/>
          </w:tcPr>
          <w:p w14:paraId="2A2EDC03"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45 dni                                   od 45 dni do 60 dni                                             od 61 dni do 90 dni                                                                                       powyżej 90 dni</w:t>
            </w:r>
          </w:p>
        </w:tc>
        <w:tc>
          <w:tcPr>
            <w:tcW w:w="901" w:type="dxa"/>
            <w:gridSpan w:val="3"/>
            <w:tcBorders>
              <w:top w:val="single" w:sz="4" w:space="0" w:color="auto"/>
              <w:left w:val="nil"/>
              <w:bottom w:val="single" w:sz="4" w:space="0" w:color="auto"/>
              <w:right w:val="single" w:sz="4" w:space="0" w:color="auto"/>
            </w:tcBorders>
            <w:vAlign w:val="center"/>
          </w:tcPr>
          <w:p w14:paraId="62BB34E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 xml:space="preserve">3 </w:t>
            </w:r>
            <w:r w:rsidRPr="00247368">
              <w:rPr>
                <w:rFonts w:ascii="Garamond" w:hAnsi="Garamond" w:cs="Garamond"/>
                <w:sz w:val="16"/>
                <w:szCs w:val="16"/>
                <w:lang w:eastAsia="zh-CN"/>
              </w:rPr>
              <w:t xml:space="preserve">                         2                             1                                                                    0</w:t>
            </w:r>
          </w:p>
        </w:tc>
        <w:tc>
          <w:tcPr>
            <w:tcW w:w="820" w:type="dxa"/>
            <w:tcBorders>
              <w:top w:val="single" w:sz="4" w:space="0" w:color="auto"/>
              <w:left w:val="nil"/>
              <w:bottom w:val="single" w:sz="4" w:space="0" w:color="auto"/>
              <w:right w:val="single" w:sz="4" w:space="0" w:color="auto"/>
            </w:tcBorders>
            <w:vAlign w:val="center"/>
          </w:tcPr>
          <w:p w14:paraId="42E89B1E" w14:textId="1A9F291C"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37</w:t>
            </w:r>
            <w:r w:rsidR="00DD2510" w:rsidRPr="00247368">
              <w:rPr>
                <w:rFonts w:ascii="Garamond" w:hAnsi="Garamond" w:cs="Garamond"/>
                <w:b/>
                <w:bCs/>
                <w:sz w:val="16"/>
                <w:szCs w:val="16"/>
                <w:lang w:eastAsia="zh-CN"/>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939FA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3</w:t>
            </w:r>
          </w:p>
        </w:tc>
      </w:tr>
      <w:tr w:rsidR="00DD2510" w:rsidRPr="00247368" w14:paraId="432B0497" w14:textId="77777777">
        <w:trPr>
          <w:gridAfter w:val="1"/>
          <w:wAfter w:w="34" w:type="dxa"/>
          <w:trHeight w:val="1073"/>
        </w:trPr>
        <w:tc>
          <w:tcPr>
            <w:tcW w:w="1774" w:type="dxa"/>
            <w:gridSpan w:val="4"/>
            <w:tcBorders>
              <w:top w:val="single" w:sz="4" w:space="0" w:color="auto"/>
              <w:left w:val="single" w:sz="8" w:space="0" w:color="auto"/>
              <w:bottom w:val="single" w:sz="4" w:space="0" w:color="auto"/>
              <w:right w:val="single" w:sz="4" w:space="0" w:color="auto"/>
            </w:tcBorders>
            <w:vAlign w:val="center"/>
          </w:tcPr>
          <w:p w14:paraId="0DE81D3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Rotacji zobowiązań (w dniach) </w:t>
            </w:r>
          </w:p>
        </w:tc>
        <w:tc>
          <w:tcPr>
            <w:tcW w:w="3501" w:type="dxa"/>
            <w:tcBorders>
              <w:top w:val="single" w:sz="4" w:space="0" w:color="auto"/>
              <w:left w:val="nil"/>
              <w:bottom w:val="nil"/>
              <w:right w:val="single" w:sz="4" w:space="0" w:color="auto"/>
            </w:tcBorders>
            <w:noWrap/>
            <w:vAlign w:val="bottom"/>
          </w:tcPr>
          <w:p w14:paraId="1CB61423" w14:textId="77777777" w:rsidR="00DD2510" w:rsidRPr="00247368" w:rsidRDefault="00DD2510" w:rsidP="002B78A5">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258"/>
            </w:tblGrid>
            <w:tr w:rsidR="00DD2510" w:rsidRPr="00247368" w14:paraId="0027717E" w14:textId="77777777">
              <w:trPr>
                <w:trHeight w:val="2072"/>
                <w:tblCellSpacing w:w="0" w:type="dxa"/>
              </w:trPr>
              <w:tc>
                <w:tcPr>
                  <w:tcW w:w="3258" w:type="dxa"/>
                  <w:vAlign w:val="center"/>
                </w:tcPr>
                <w:p w14:paraId="102F42EE" w14:textId="212CDFA4" w:rsidR="00DD2510" w:rsidRPr="00247368" w:rsidRDefault="007054FA" w:rsidP="002B78A5">
                  <w:pPr>
                    <w:suppressAutoHyphens w:val="0"/>
                    <w:jc w:val="center"/>
                    <w:rPr>
                      <w:rFonts w:ascii="Garamond" w:hAnsi="Garamond" w:cs="Garamond"/>
                      <w:sz w:val="16"/>
                      <w:szCs w:val="16"/>
                      <w:lang w:eastAsia="zh-CN"/>
                    </w:rPr>
                  </w:pPr>
                  <w:r>
                    <w:rPr>
                      <w:noProof/>
                    </w:rPr>
                    <w:drawing>
                      <wp:anchor distT="0" distB="0" distL="114300" distR="114300" simplePos="0" relativeHeight="251656192" behindDoc="0" locked="0" layoutInCell="1" allowOverlap="1" wp14:anchorId="2C001642" wp14:editId="53E8B321">
                        <wp:simplePos x="0" y="0"/>
                        <wp:positionH relativeFrom="column">
                          <wp:posOffset>20320</wp:posOffset>
                        </wp:positionH>
                        <wp:positionV relativeFrom="paragraph">
                          <wp:posOffset>325120</wp:posOffset>
                        </wp:positionV>
                        <wp:extent cx="1905000" cy="9525"/>
                        <wp:effectExtent l="0" t="0" r="0" b="0"/>
                        <wp:wrapNone/>
                        <wp:docPr id="9" name="Obraz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średni stan zobowiązań z tytułu dostaw i usług                       x liczba dni w okresie (365)                                           przychody netto ze sprzedaży produktów                                 + przychody netto ze sprzedaży towarów                                 i materiałów</w:t>
                  </w:r>
                </w:p>
              </w:tc>
            </w:tr>
          </w:tbl>
          <w:p w14:paraId="043997C3" w14:textId="77777777" w:rsidR="00DD2510" w:rsidRPr="00247368" w:rsidRDefault="00DD2510" w:rsidP="002B78A5">
            <w:pPr>
              <w:suppressAutoHyphens w:val="0"/>
              <w:rPr>
                <w:rFonts w:ascii="Arial" w:hAnsi="Arial" w:cs="Arial"/>
                <w:sz w:val="20"/>
                <w:szCs w:val="20"/>
                <w:lang w:eastAsia="zh-CN"/>
              </w:rPr>
            </w:pPr>
          </w:p>
        </w:tc>
        <w:tc>
          <w:tcPr>
            <w:tcW w:w="1803" w:type="dxa"/>
            <w:tcBorders>
              <w:top w:val="single" w:sz="4" w:space="0" w:color="auto"/>
              <w:left w:val="single" w:sz="4" w:space="0" w:color="auto"/>
              <w:bottom w:val="single" w:sz="4" w:space="0" w:color="auto"/>
              <w:right w:val="single" w:sz="4" w:space="0" w:color="auto"/>
            </w:tcBorders>
            <w:shd w:val="clear" w:color="000000" w:fill="FFFFFF"/>
            <w:vAlign w:val="center"/>
          </w:tcPr>
          <w:p w14:paraId="307FD508"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do 60 dni                                   od 61 dni do 90 dni                                                    powyżej 90 dni</w:t>
            </w:r>
          </w:p>
        </w:tc>
        <w:tc>
          <w:tcPr>
            <w:tcW w:w="901" w:type="dxa"/>
            <w:gridSpan w:val="3"/>
            <w:tcBorders>
              <w:top w:val="single" w:sz="4" w:space="0" w:color="auto"/>
              <w:left w:val="nil"/>
              <w:bottom w:val="single" w:sz="4" w:space="0" w:color="auto"/>
              <w:right w:val="single" w:sz="4" w:space="0" w:color="auto"/>
            </w:tcBorders>
            <w:vAlign w:val="center"/>
          </w:tcPr>
          <w:p w14:paraId="331C56CE"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 xml:space="preserve">7 </w:t>
            </w:r>
            <w:r w:rsidRPr="00247368">
              <w:rPr>
                <w:rFonts w:ascii="Garamond" w:hAnsi="Garamond" w:cs="Garamond"/>
                <w:sz w:val="16"/>
                <w:szCs w:val="16"/>
                <w:lang w:eastAsia="zh-CN"/>
              </w:rPr>
              <w:t xml:space="preserve">                                                                   4                                  0</w:t>
            </w:r>
          </w:p>
        </w:tc>
        <w:tc>
          <w:tcPr>
            <w:tcW w:w="820" w:type="dxa"/>
            <w:tcBorders>
              <w:top w:val="single" w:sz="4" w:space="0" w:color="auto"/>
              <w:left w:val="nil"/>
              <w:bottom w:val="single" w:sz="4" w:space="0" w:color="auto"/>
              <w:right w:val="single" w:sz="4" w:space="0" w:color="auto"/>
            </w:tcBorders>
            <w:vAlign w:val="center"/>
          </w:tcPr>
          <w:p w14:paraId="613AE7A6"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D5C673"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7</w:t>
            </w:r>
          </w:p>
        </w:tc>
      </w:tr>
      <w:tr w:rsidR="00DD2510" w:rsidRPr="00247368" w14:paraId="371A84AF" w14:textId="77777777">
        <w:trPr>
          <w:gridAfter w:val="1"/>
          <w:wAfter w:w="34" w:type="dxa"/>
          <w:trHeight w:val="418"/>
        </w:trPr>
        <w:tc>
          <w:tcPr>
            <w:tcW w:w="5275" w:type="dxa"/>
            <w:gridSpan w:val="5"/>
            <w:tcBorders>
              <w:top w:val="single" w:sz="8" w:space="0" w:color="auto"/>
              <w:left w:val="single" w:sz="8" w:space="0" w:color="auto"/>
              <w:bottom w:val="single" w:sz="8" w:space="0" w:color="auto"/>
              <w:right w:val="nil"/>
            </w:tcBorders>
            <w:shd w:val="clear" w:color="000000" w:fill="FF9900"/>
            <w:noWrap/>
            <w:vAlign w:val="center"/>
          </w:tcPr>
          <w:p w14:paraId="645BF46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EFEKTYWNOŚCI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36BB6A8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4EF1D052"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2DD1C47D"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92" w:type="dxa"/>
            <w:tcBorders>
              <w:top w:val="single" w:sz="8" w:space="0" w:color="auto"/>
              <w:left w:val="single" w:sz="4" w:space="0" w:color="auto"/>
              <w:bottom w:val="single" w:sz="8" w:space="0" w:color="auto"/>
              <w:right w:val="single" w:sz="8" w:space="0" w:color="auto"/>
            </w:tcBorders>
            <w:shd w:val="clear" w:color="000000" w:fill="FF9900"/>
            <w:vAlign w:val="center"/>
          </w:tcPr>
          <w:p w14:paraId="636BBC0F"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w:t>
            </w:r>
          </w:p>
        </w:tc>
      </w:tr>
      <w:tr w:rsidR="00DD2510" w:rsidRPr="00247368" w14:paraId="0A1B8D31" w14:textId="77777777">
        <w:trPr>
          <w:gridAfter w:val="1"/>
          <w:wAfter w:w="34" w:type="dxa"/>
          <w:trHeight w:val="207"/>
        </w:trPr>
        <w:tc>
          <w:tcPr>
            <w:tcW w:w="5275" w:type="dxa"/>
            <w:gridSpan w:val="5"/>
            <w:tcBorders>
              <w:top w:val="single" w:sz="4" w:space="0" w:color="auto"/>
              <w:left w:val="single" w:sz="8" w:space="0" w:color="auto"/>
              <w:bottom w:val="single" w:sz="4" w:space="0" w:color="auto"/>
              <w:right w:val="single" w:sz="4" w:space="0" w:color="auto"/>
            </w:tcBorders>
            <w:shd w:val="clear" w:color="000000" w:fill="969696"/>
            <w:noWrap/>
            <w:vAlign w:val="center"/>
          </w:tcPr>
          <w:p w14:paraId="0F61035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IV.     WSKAŹNIKI ZADŁUŻENIA</w:t>
            </w:r>
          </w:p>
        </w:tc>
        <w:tc>
          <w:tcPr>
            <w:tcW w:w="1828" w:type="dxa"/>
            <w:gridSpan w:val="2"/>
            <w:tcBorders>
              <w:top w:val="single" w:sz="4" w:space="0" w:color="auto"/>
              <w:left w:val="single" w:sz="4" w:space="0" w:color="auto"/>
              <w:bottom w:val="single" w:sz="4" w:space="0" w:color="auto"/>
              <w:right w:val="single" w:sz="4" w:space="0" w:color="auto"/>
            </w:tcBorders>
            <w:shd w:val="clear" w:color="000000" w:fill="969696"/>
            <w:noWrap/>
            <w:vAlign w:val="center"/>
          </w:tcPr>
          <w:p w14:paraId="17CB06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06" w:type="dxa"/>
            <w:tcBorders>
              <w:top w:val="single" w:sz="4" w:space="0" w:color="auto"/>
              <w:left w:val="single" w:sz="4" w:space="0" w:color="auto"/>
              <w:bottom w:val="single" w:sz="4" w:space="0" w:color="auto"/>
              <w:right w:val="single" w:sz="4" w:space="0" w:color="auto"/>
            </w:tcBorders>
            <w:shd w:val="clear" w:color="000000" w:fill="969696"/>
            <w:noWrap/>
            <w:vAlign w:val="center"/>
          </w:tcPr>
          <w:p w14:paraId="62B84B0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90" w:type="dxa"/>
            <w:gridSpan w:val="2"/>
            <w:tcBorders>
              <w:top w:val="single" w:sz="4" w:space="0" w:color="auto"/>
              <w:left w:val="single" w:sz="4" w:space="0" w:color="auto"/>
              <w:bottom w:val="single" w:sz="4" w:space="0" w:color="auto"/>
              <w:right w:val="single" w:sz="4" w:space="0" w:color="auto"/>
            </w:tcBorders>
            <w:shd w:val="clear" w:color="000000" w:fill="969696"/>
            <w:noWrap/>
            <w:vAlign w:val="center"/>
          </w:tcPr>
          <w:p w14:paraId="532245B8"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92" w:type="dxa"/>
            <w:tcBorders>
              <w:top w:val="single" w:sz="4" w:space="0" w:color="auto"/>
              <w:left w:val="single" w:sz="4" w:space="0" w:color="auto"/>
              <w:bottom w:val="single" w:sz="4" w:space="0" w:color="auto"/>
              <w:right w:val="single" w:sz="8" w:space="0" w:color="auto"/>
            </w:tcBorders>
            <w:shd w:val="clear" w:color="000000" w:fill="969696"/>
            <w:noWrap/>
            <w:vAlign w:val="center"/>
          </w:tcPr>
          <w:p w14:paraId="64D9944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DD2510" w:rsidRPr="00247368" w14:paraId="239FF479" w14:textId="77777777">
        <w:trPr>
          <w:gridAfter w:val="1"/>
          <w:wAfter w:w="34" w:type="dxa"/>
          <w:trHeight w:val="1167"/>
        </w:trPr>
        <w:tc>
          <w:tcPr>
            <w:tcW w:w="1680" w:type="dxa"/>
            <w:gridSpan w:val="2"/>
            <w:tcBorders>
              <w:top w:val="nil"/>
              <w:left w:val="single" w:sz="8" w:space="0" w:color="auto"/>
              <w:bottom w:val="single" w:sz="4" w:space="0" w:color="auto"/>
              <w:right w:val="single" w:sz="4" w:space="0" w:color="auto"/>
            </w:tcBorders>
            <w:vAlign w:val="center"/>
          </w:tcPr>
          <w:p w14:paraId="5E045941"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Zadłużenia aktywów   %</w:t>
            </w:r>
          </w:p>
        </w:tc>
        <w:tc>
          <w:tcPr>
            <w:tcW w:w="3595" w:type="dxa"/>
            <w:gridSpan w:val="3"/>
            <w:tcBorders>
              <w:top w:val="nil"/>
              <w:left w:val="nil"/>
              <w:bottom w:val="single" w:sz="4" w:space="0" w:color="auto"/>
              <w:right w:val="single" w:sz="4" w:space="0" w:color="auto"/>
            </w:tcBorders>
            <w:noWrap/>
            <w:vAlign w:val="center"/>
          </w:tcPr>
          <w:tbl>
            <w:tblPr>
              <w:tblpPr w:leftFromText="141" w:rightFromText="141" w:vertAnchor="page" w:horzAnchor="margin" w:tblpY="451"/>
              <w:tblOverlap w:val="never"/>
              <w:tblW w:w="3604" w:type="dxa"/>
              <w:tblCellSpacing w:w="0" w:type="dxa"/>
              <w:tblCellMar>
                <w:left w:w="0" w:type="dxa"/>
                <w:right w:w="0" w:type="dxa"/>
              </w:tblCellMar>
              <w:tblLook w:val="0000" w:firstRow="0" w:lastRow="0" w:firstColumn="0" w:lastColumn="0" w:noHBand="0" w:noVBand="0"/>
            </w:tblPr>
            <w:tblGrid>
              <w:gridCol w:w="3604"/>
            </w:tblGrid>
            <w:tr w:rsidR="00DD2510" w:rsidRPr="00247368" w14:paraId="3E936502" w14:textId="77777777">
              <w:trPr>
                <w:trHeight w:val="1207"/>
                <w:tblCellSpacing w:w="0" w:type="dxa"/>
              </w:trPr>
              <w:tc>
                <w:tcPr>
                  <w:tcW w:w="3604" w:type="dxa"/>
                  <w:vAlign w:val="center"/>
                </w:tcPr>
                <w:p w14:paraId="67E10540" w14:textId="6CC29C61" w:rsidR="00DD2510" w:rsidRPr="00247368" w:rsidRDefault="007054FA" w:rsidP="002B78A5">
                  <w:pPr>
                    <w:suppressAutoHyphens w:val="0"/>
                    <w:jc w:val="center"/>
                    <w:rPr>
                      <w:rFonts w:ascii="Garamond" w:hAnsi="Garamond" w:cs="Garamond"/>
                      <w:sz w:val="16"/>
                      <w:szCs w:val="16"/>
                      <w:lang w:eastAsia="zh-CN"/>
                    </w:rPr>
                  </w:pPr>
                  <w:r>
                    <w:rPr>
                      <w:noProof/>
                    </w:rPr>
                    <w:drawing>
                      <wp:anchor distT="0" distB="0" distL="114300" distR="114300" simplePos="0" relativeHeight="251659264" behindDoc="0" locked="0" layoutInCell="1" allowOverlap="1" wp14:anchorId="1A62A125" wp14:editId="30634E61">
                        <wp:simplePos x="0" y="0"/>
                        <wp:positionH relativeFrom="column">
                          <wp:posOffset>44450</wp:posOffset>
                        </wp:positionH>
                        <wp:positionV relativeFrom="paragraph">
                          <wp:posOffset>334010</wp:posOffset>
                        </wp:positionV>
                        <wp:extent cx="1990725" cy="9525"/>
                        <wp:effectExtent l="0" t="0" r="0" b="0"/>
                        <wp:wrapNone/>
                        <wp:docPr id="10" name="Obraz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(zobowiązania długoterminowe  + zobowiązania krótkoterminowe + rezerwy na zobowiązania ) x 100%                                                                                                                                                 aktywa razem</w:t>
                  </w:r>
                </w:p>
              </w:tc>
            </w:tr>
          </w:tbl>
          <w:p w14:paraId="3796C1C3" w14:textId="77777777" w:rsidR="00DD2510" w:rsidRPr="00247368" w:rsidRDefault="00DD2510" w:rsidP="002B78A5">
            <w:pPr>
              <w:suppressAutoHyphens w:val="0"/>
              <w:jc w:val="center"/>
              <w:rPr>
                <w:rFonts w:ascii="Arial" w:hAnsi="Arial" w:cs="Arial"/>
                <w:sz w:val="20"/>
                <w:szCs w:val="20"/>
                <w:lang w:eastAsia="zh-CN"/>
              </w:rPr>
            </w:pPr>
          </w:p>
        </w:tc>
        <w:tc>
          <w:tcPr>
            <w:tcW w:w="1828" w:type="dxa"/>
            <w:gridSpan w:val="2"/>
            <w:tcBorders>
              <w:top w:val="nil"/>
              <w:left w:val="single" w:sz="4" w:space="0" w:color="auto"/>
              <w:bottom w:val="single" w:sz="4" w:space="0" w:color="auto"/>
              <w:right w:val="single" w:sz="4" w:space="0" w:color="auto"/>
            </w:tcBorders>
            <w:vAlign w:val="center"/>
          </w:tcPr>
          <w:p w14:paraId="2D942CFC"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40 %                                    od 40%  do  60%                                             powyżej 60% do 80%                                                                                        powyżej 80%</w:t>
            </w:r>
          </w:p>
        </w:tc>
        <w:tc>
          <w:tcPr>
            <w:tcW w:w="806" w:type="dxa"/>
            <w:tcBorders>
              <w:top w:val="nil"/>
              <w:left w:val="nil"/>
              <w:bottom w:val="single" w:sz="4" w:space="0" w:color="auto"/>
              <w:right w:val="single" w:sz="4" w:space="0" w:color="auto"/>
            </w:tcBorders>
            <w:vAlign w:val="center"/>
          </w:tcPr>
          <w:p w14:paraId="288E7C8A"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10</w:t>
            </w:r>
            <w:r w:rsidRPr="00247368">
              <w:rPr>
                <w:rFonts w:ascii="Garamond" w:hAnsi="Garamond" w:cs="Garamond"/>
                <w:sz w:val="16"/>
                <w:szCs w:val="16"/>
                <w:lang w:eastAsia="zh-CN"/>
              </w:rPr>
              <w:t xml:space="preserve">                          8                             3                                                                    0</w:t>
            </w:r>
          </w:p>
        </w:tc>
        <w:tc>
          <w:tcPr>
            <w:tcW w:w="890" w:type="dxa"/>
            <w:gridSpan w:val="2"/>
            <w:tcBorders>
              <w:top w:val="nil"/>
              <w:left w:val="nil"/>
              <w:bottom w:val="single" w:sz="4" w:space="0" w:color="auto"/>
              <w:right w:val="single" w:sz="4" w:space="0" w:color="auto"/>
            </w:tcBorders>
            <w:vAlign w:val="center"/>
          </w:tcPr>
          <w:p w14:paraId="7D4C8E6C" w14:textId="0D3851ED"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62</w:t>
            </w:r>
            <w:r w:rsidR="00DD2510" w:rsidRPr="00247368">
              <w:rPr>
                <w:rFonts w:ascii="Garamond" w:hAnsi="Garamond" w:cs="Garamond"/>
                <w:b/>
                <w:bCs/>
                <w:sz w:val="16"/>
                <w:szCs w:val="16"/>
                <w:lang w:eastAsia="zh-CN"/>
              </w:rPr>
              <w:t>%</w:t>
            </w:r>
          </w:p>
        </w:tc>
        <w:tc>
          <w:tcPr>
            <w:tcW w:w="992" w:type="dxa"/>
            <w:tcBorders>
              <w:top w:val="nil"/>
              <w:left w:val="nil"/>
              <w:bottom w:val="single" w:sz="4" w:space="0" w:color="auto"/>
              <w:right w:val="single" w:sz="4" w:space="0" w:color="auto"/>
            </w:tcBorders>
            <w:shd w:val="clear" w:color="000000" w:fill="FFFFFF"/>
            <w:vAlign w:val="center"/>
          </w:tcPr>
          <w:p w14:paraId="7D00D2B2" w14:textId="06937B90"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3</w:t>
            </w:r>
          </w:p>
        </w:tc>
      </w:tr>
      <w:tr w:rsidR="00DD2510" w:rsidRPr="00247368" w14:paraId="3747D971" w14:textId="77777777">
        <w:trPr>
          <w:gridAfter w:val="1"/>
          <w:wAfter w:w="34" w:type="dxa"/>
          <w:trHeight w:val="1167"/>
        </w:trPr>
        <w:tc>
          <w:tcPr>
            <w:tcW w:w="1680" w:type="dxa"/>
            <w:gridSpan w:val="2"/>
            <w:tcBorders>
              <w:top w:val="nil"/>
              <w:left w:val="single" w:sz="8" w:space="0" w:color="auto"/>
              <w:bottom w:val="single" w:sz="4" w:space="0" w:color="auto"/>
              <w:right w:val="single" w:sz="4" w:space="0" w:color="auto"/>
            </w:tcBorders>
            <w:vAlign w:val="center"/>
          </w:tcPr>
          <w:p w14:paraId="4A727889"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Wypłacalności</w:t>
            </w:r>
          </w:p>
        </w:tc>
        <w:tc>
          <w:tcPr>
            <w:tcW w:w="3595" w:type="dxa"/>
            <w:gridSpan w:val="3"/>
            <w:tcBorders>
              <w:top w:val="nil"/>
              <w:left w:val="nil"/>
              <w:bottom w:val="single" w:sz="4" w:space="0" w:color="auto"/>
              <w:right w:val="single" w:sz="4" w:space="0" w:color="auto"/>
            </w:tcBorders>
            <w:noWrap/>
            <w:vAlign w:val="center"/>
          </w:tcPr>
          <w:tbl>
            <w:tblPr>
              <w:tblpPr w:leftFromText="141" w:rightFromText="141" w:vertAnchor="text" w:horzAnchor="margin" w:tblpY="321"/>
              <w:tblOverlap w:val="never"/>
              <w:tblW w:w="3532" w:type="dxa"/>
              <w:tblCellSpacing w:w="0" w:type="dxa"/>
              <w:tblCellMar>
                <w:left w:w="0" w:type="dxa"/>
                <w:right w:w="0" w:type="dxa"/>
              </w:tblCellMar>
              <w:tblLook w:val="0000" w:firstRow="0" w:lastRow="0" w:firstColumn="0" w:lastColumn="0" w:noHBand="0" w:noVBand="0"/>
            </w:tblPr>
            <w:tblGrid>
              <w:gridCol w:w="3532"/>
            </w:tblGrid>
            <w:tr w:rsidR="00DD2510" w:rsidRPr="00247368" w14:paraId="66E0E156" w14:textId="77777777">
              <w:trPr>
                <w:trHeight w:val="393"/>
                <w:tblCellSpacing w:w="0" w:type="dxa"/>
              </w:trPr>
              <w:tc>
                <w:tcPr>
                  <w:tcW w:w="3532" w:type="dxa"/>
                  <w:vAlign w:val="center"/>
                </w:tcPr>
                <w:p w14:paraId="2486EA8D" w14:textId="157C9506" w:rsidR="00DD2510" w:rsidRPr="00247368" w:rsidRDefault="007054FA" w:rsidP="002B78A5">
                  <w:pPr>
                    <w:suppressAutoHyphens w:val="0"/>
                    <w:jc w:val="center"/>
                    <w:rPr>
                      <w:rFonts w:ascii="Garamond" w:hAnsi="Garamond" w:cs="Garamond"/>
                      <w:sz w:val="16"/>
                      <w:szCs w:val="16"/>
                      <w:lang w:eastAsia="zh-CN"/>
                    </w:rPr>
                  </w:pPr>
                  <w:r>
                    <w:rPr>
                      <w:noProof/>
                    </w:rPr>
                    <w:drawing>
                      <wp:anchor distT="0" distB="0" distL="114300" distR="114300" simplePos="0" relativeHeight="251660288" behindDoc="0" locked="0" layoutInCell="1" allowOverlap="1" wp14:anchorId="54CCC0A3" wp14:editId="4C813FE2">
                        <wp:simplePos x="0" y="0"/>
                        <wp:positionH relativeFrom="column">
                          <wp:posOffset>12700</wp:posOffset>
                        </wp:positionH>
                        <wp:positionV relativeFrom="paragraph">
                          <wp:posOffset>338455</wp:posOffset>
                        </wp:positionV>
                        <wp:extent cx="1990725" cy="9525"/>
                        <wp:effectExtent l="0" t="0" r="0" b="0"/>
                        <wp:wrapNone/>
                        <wp:docPr id="11" name="Obraz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9525"/>
                                </a:xfrm>
                                <a:prstGeom prst="rect">
                                  <a:avLst/>
                                </a:prstGeom>
                                <a:noFill/>
                              </pic:spPr>
                            </pic:pic>
                          </a:graphicData>
                        </a:graphic>
                        <wp14:sizeRelH relativeFrom="page">
                          <wp14:pctWidth>0</wp14:pctWidth>
                        </wp14:sizeRelH>
                        <wp14:sizeRelV relativeFrom="page">
                          <wp14:pctHeight>0</wp14:pctHeight>
                        </wp14:sizeRelV>
                      </wp:anchor>
                    </w:drawing>
                  </w:r>
                  <w:r w:rsidR="00DD2510" w:rsidRPr="00247368">
                    <w:rPr>
                      <w:rFonts w:ascii="Garamond" w:hAnsi="Garamond" w:cs="Garamond"/>
                      <w:sz w:val="16"/>
                      <w:szCs w:val="16"/>
                      <w:lang w:eastAsia="zh-CN"/>
                    </w:rPr>
                    <w:t>zobowiązania długoterminowe + zobowiązania krótkoterminowe + rezerwy na zobowiązania                                                               fundusz własny</w:t>
                  </w:r>
                </w:p>
              </w:tc>
            </w:tr>
          </w:tbl>
          <w:p w14:paraId="5C319055" w14:textId="77777777" w:rsidR="00DD2510" w:rsidRPr="00247368" w:rsidRDefault="00DD2510" w:rsidP="002B78A5">
            <w:pPr>
              <w:suppressAutoHyphens w:val="0"/>
              <w:jc w:val="center"/>
              <w:rPr>
                <w:rFonts w:ascii="Arial" w:hAnsi="Arial" w:cs="Arial"/>
                <w:sz w:val="20"/>
                <w:szCs w:val="20"/>
                <w:lang w:eastAsia="zh-CN"/>
              </w:rPr>
            </w:pPr>
          </w:p>
        </w:tc>
        <w:tc>
          <w:tcPr>
            <w:tcW w:w="1828" w:type="dxa"/>
            <w:gridSpan w:val="2"/>
            <w:tcBorders>
              <w:top w:val="nil"/>
              <w:left w:val="single" w:sz="4" w:space="0" w:color="auto"/>
              <w:bottom w:val="single" w:sz="4" w:space="0" w:color="auto"/>
              <w:right w:val="single" w:sz="4" w:space="0" w:color="auto"/>
            </w:tcBorders>
            <w:vAlign w:val="center"/>
          </w:tcPr>
          <w:p w14:paraId="747B02E3"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od 0,00 do 0,50                               od 0,51 do 1,00                                             od 1,01 do 2,00                                                  od 2,01  do 4,00                                                                                       powyżej 4,00 lub poniżej 0,00</w:t>
            </w:r>
          </w:p>
        </w:tc>
        <w:tc>
          <w:tcPr>
            <w:tcW w:w="806" w:type="dxa"/>
            <w:tcBorders>
              <w:top w:val="nil"/>
              <w:left w:val="nil"/>
              <w:bottom w:val="single" w:sz="4" w:space="0" w:color="auto"/>
              <w:right w:val="single" w:sz="4" w:space="0" w:color="auto"/>
            </w:tcBorders>
            <w:vAlign w:val="center"/>
          </w:tcPr>
          <w:p w14:paraId="2E2AC1E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10                          8                             6                                                                    4                                  0</w:t>
            </w:r>
          </w:p>
        </w:tc>
        <w:tc>
          <w:tcPr>
            <w:tcW w:w="890" w:type="dxa"/>
            <w:gridSpan w:val="2"/>
            <w:tcBorders>
              <w:top w:val="nil"/>
              <w:left w:val="nil"/>
              <w:bottom w:val="single" w:sz="4" w:space="0" w:color="auto"/>
              <w:right w:val="single" w:sz="4" w:space="0" w:color="auto"/>
            </w:tcBorders>
            <w:vAlign w:val="center"/>
          </w:tcPr>
          <w:p w14:paraId="395D1262" w14:textId="717822E4"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-1,74</w:t>
            </w:r>
          </w:p>
        </w:tc>
        <w:tc>
          <w:tcPr>
            <w:tcW w:w="992" w:type="dxa"/>
            <w:tcBorders>
              <w:top w:val="nil"/>
              <w:left w:val="nil"/>
              <w:bottom w:val="single" w:sz="4" w:space="0" w:color="auto"/>
              <w:right w:val="single" w:sz="4" w:space="0" w:color="auto"/>
            </w:tcBorders>
            <w:shd w:val="clear" w:color="000000" w:fill="FFFFFF"/>
            <w:vAlign w:val="center"/>
          </w:tcPr>
          <w:p w14:paraId="4297092D"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p>
        </w:tc>
      </w:tr>
      <w:tr w:rsidR="00DD2510" w:rsidRPr="00247368" w14:paraId="1573FA15" w14:textId="77777777">
        <w:trPr>
          <w:trHeight w:val="129"/>
        </w:trPr>
        <w:tc>
          <w:tcPr>
            <w:tcW w:w="5275" w:type="dxa"/>
            <w:gridSpan w:val="5"/>
            <w:tcBorders>
              <w:top w:val="single" w:sz="8" w:space="0" w:color="auto"/>
              <w:left w:val="single" w:sz="8" w:space="0" w:color="auto"/>
              <w:bottom w:val="single" w:sz="8" w:space="0" w:color="auto"/>
              <w:right w:val="nil"/>
            </w:tcBorders>
            <w:shd w:val="clear" w:color="000000" w:fill="FF9900"/>
            <w:noWrap/>
            <w:vAlign w:val="center"/>
          </w:tcPr>
          <w:p w14:paraId="5A6D929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EFEKTYWNOŚCI</w:t>
            </w:r>
          </w:p>
        </w:tc>
        <w:tc>
          <w:tcPr>
            <w:tcW w:w="1828" w:type="dxa"/>
            <w:gridSpan w:val="2"/>
            <w:tcBorders>
              <w:top w:val="single" w:sz="8" w:space="0" w:color="auto"/>
              <w:left w:val="single" w:sz="4" w:space="0" w:color="auto"/>
              <w:bottom w:val="single" w:sz="8" w:space="0" w:color="auto"/>
              <w:right w:val="single" w:sz="4" w:space="0" w:color="auto"/>
            </w:tcBorders>
            <w:shd w:val="clear" w:color="000000" w:fill="FF9900"/>
            <w:vAlign w:val="center"/>
          </w:tcPr>
          <w:p w14:paraId="389CF907"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806" w:type="dxa"/>
            <w:tcBorders>
              <w:top w:val="single" w:sz="8" w:space="0" w:color="auto"/>
              <w:left w:val="single" w:sz="4" w:space="0" w:color="auto"/>
              <w:bottom w:val="single" w:sz="8" w:space="0" w:color="auto"/>
              <w:right w:val="single" w:sz="4" w:space="0" w:color="auto"/>
            </w:tcBorders>
            <w:shd w:val="clear" w:color="000000" w:fill="FF9900"/>
            <w:noWrap/>
            <w:vAlign w:val="center"/>
          </w:tcPr>
          <w:p w14:paraId="790A6365"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20</w:t>
            </w:r>
          </w:p>
        </w:tc>
        <w:tc>
          <w:tcPr>
            <w:tcW w:w="890" w:type="dxa"/>
            <w:gridSpan w:val="2"/>
            <w:tcBorders>
              <w:top w:val="single" w:sz="8" w:space="0" w:color="auto"/>
              <w:left w:val="nil"/>
              <w:bottom w:val="single" w:sz="8" w:space="0" w:color="auto"/>
              <w:right w:val="single" w:sz="4" w:space="0" w:color="auto"/>
            </w:tcBorders>
            <w:shd w:val="clear" w:color="000000" w:fill="FF9900"/>
            <w:vAlign w:val="center"/>
          </w:tcPr>
          <w:p w14:paraId="1E942270"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1026" w:type="dxa"/>
            <w:gridSpan w:val="2"/>
            <w:tcBorders>
              <w:top w:val="single" w:sz="8" w:space="0" w:color="auto"/>
              <w:left w:val="single" w:sz="4" w:space="0" w:color="auto"/>
              <w:bottom w:val="single" w:sz="8" w:space="0" w:color="auto"/>
              <w:right w:val="single" w:sz="8" w:space="0" w:color="auto"/>
            </w:tcBorders>
            <w:shd w:val="clear" w:color="000000" w:fill="FF9900"/>
            <w:vAlign w:val="center"/>
          </w:tcPr>
          <w:p w14:paraId="33F9E932" w14:textId="1FEB8DA8"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3</w:t>
            </w:r>
          </w:p>
        </w:tc>
      </w:tr>
      <w:tr w:rsidR="00DD2510" w:rsidRPr="00247368" w14:paraId="21A3E57D" w14:textId="77777777">
        <w:trPr>
          <w:trHeight w:val="184"/>
        </w:trPr>
        <w:tc>
          <w:tcPr>
            <w:tcW w:w="1173" w:type="dxa"/>
            <w:tcBorders>
              <w:top w:val="single" w:sz="4" w:space="0" w:color="auto"/>
              <w:left w:val="single" w:sz="4" w:space="0" w:color="auto"/>
              <w:bottom w:val="nil"/>
              <w:right w:val="nil"/>
            </w:tcBorders>
            <w:vAlign w:val="center"/>
          </w:tcPr>
          <w:p w14:paraId="1D4DC615"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4102" w:type="dxa"/>
            <w:gridSpan w:val="4"/>
            <w:tcBorders>
              <w:top w:val="single" w:sz="4" w:space="0" w:color="auto"/>
              <w:left w:val="nil"/>
              <w:bottom w:val="nil"/>
              <w:right w:val="nil"/>
            </w:tcBorders>
            <w:vAlign w:val="center"/>
          </w:tcPr>
          <w:p w14:paraId="4BB4CDEC"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1828" w:type="dxa"/>
            <w:gridSpan w:val="2"/>
            <w:tcBorders>
              <w:top w:val="single" w:sz="4" w:space="0" w:color="auto"/>
              <w:left w:val="nil"/>
              <w:bottom w:val="nil"/>
              <w:right w:val="nil"/>
            </w:tcBorders>
            <w:vAlign w:val="center"/>
          </w:tcPr>
          <w:p w14:paraId="724CBCB6"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806" w:type="dxa"/>
            <w:tcBorders>
              <w:top w:val="single" w:sz="4" w:space="0" w:color="auto"/>
              <w:left w:val="nil"/>
              <w:bottom w:val="nil"/>
              <w:right w:val="nil"/>
            </w:tcBorders>
          </w:tcPr>
          <w:p w14:paraId="04F07421"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890" w:type="dxa"/>
            <w:gridSpan w:val="2"/>
            <w:tcBorders>
              <w:top w:val="single" w:sz="4" w:space="0" w:color="auto"/>
              <w:left w:val="nil"/>
              <w:bottom w:val="nil"/>
              <w:right w:val="single" w:sz="4" w:space="0" w:color="auto"/>
            </w:tcBorders>
            <w:vAlign w:val="center"/>
          </w:tcPr>
          <w:p w14:paraId="17A3B99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1026" w:type="dxa"/>
            <w:gridSpan w:val="2"/>
            <w:tcBorders>
              <w:top w:val="single" w:sz="4" w:space="0" w:color="auto"/>
              <w:left w:val="single" w:sz="4" w:space="0" w:color="auto"/>
              <w:bottom w:val="nil"/>
              <w:right w:val="nil"/>
            </w:tcBorders>
            <w:shd w:val="clear" w:color="000000" w:fill="FFFFFF"/>
            <w:vAlign w:val="center"/>
          </w:tcPr>
          <w:p w14:paraId="7F134751"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r>
      <w:tr w:rsidR="00DD2510" w:rsidRPr="00247368" w14:paraId="2769DDE6" w14:textId="77777777">
        <w:trPr>
          <w:trHeight w:val="341"/>
        </w:trPr>
        <w:tc>
          <w:tcPr>
            <w:tcW w:w="8799" w:type="dxa"/>
            <w:gridSpan w:val="10"/>
            <w:tcBorders>
              <w:top w:val="single" w:sz="4" w:space="0" w:color="auto"/>
              <w:left w:val="single" w:sz="8" w:space="0" w:color="auto"/>
              <w:bottom w:val="single" w:sz="8" w:space="0" w:color="auto"/>
              <w:right w:val="single" w:sz="4" w:space="0" w:color="auto"/>
            </w:tcBorders>
            <w:shd w:val="clear" w:color="000000" w:fill="FF9900"/>
            <w:noWrap/>
            <w:vAlign w:val="center"/>
          </w:tcPr>
          <w:p w14:paraId="27A7B80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SUMA  UZYSKANYCH  PUNKTÓW</w:t>
            </w:r>
          </w:p>
        </w:tc>
        <w:tc>
          <w:tcPr>
            <w:tcW w:w="1026" w:type="dxa"/>
            <w:gridSpan w:val="2"/>
            <w:tcBorders>
              <w:top w:val="single" w:sz="4" w:space="0" w:color="auto"/>
              <w:left w:val="single" w:sz="4" w:space="0" w:color="auto"/>
              <w:bottom w:val="single" w:sz="8" w:space="0" w:color="auto"/>
              <w:right w:val="single" w:sz="8" w:space="0" w:color="auto"/>
            </w:tcBorders>
            <w:shd w:val="clear" w:color="000000" w:fill="FF9900"/>
            <w:noWrap/>
            <w:vAlign w:val="center"/>
          </w:tcPr>
          <w:p w14:paraId="684B2F7E" w14:textId="0EB31F60"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13</w:t>
            </w:r>
          </w:p>
        </w:tc>
      </w:tr>
    </w:tbl>
    <w:p w14:paraId="23729454" w14:textId="77777777" w:rsidR="00DD2510" w:rsidRDefault="00DD2510" w:rsidP="008C423A">
      <w:pPr>
        <w:suppressAutoHyphens w:val="0"/>
        <w:ind w:firstLine="708"/>
        <w:rPr>
          <w:b/>
          <w:bCs/>
        </w:rPr>
      </w:pPr>
    </w:p>
    <w:p w14:paraId="7DB110D6" w14:textId="77777777" w:rsidR="00DD2510" w:rsidRPr="00C852A0" w:rsidRDefault="00DD2510" w:rsidP="002B78A5">
      <w:pPr>
        <w:pStyle w:val="Nagwek2"/>
        <w:framePr w:wrap="auto"/>
        <w:spacing w:line="360" w:lineRule="atLeast"/>
        <w:jc w:val="both"/>
        <w:rPr>
          <w:b w:val="0"/>
          <w:bCs w:val="0"/>
        </w:rPr>
      </w:pPr>
      <w:bookmarkStart w:id="2" w:name="_Toc132708826"/>
      <w:r w:rsidRPr="00402325">
        <w:t>Wskaźniki zyskowności</w:t>
      </w:r>
      <w:bookmarkEnd w:id="2"/>
      <w:r w:rsidRPr="00402325">
        <w:t xml:space="preserve"> </w:t>
      </w:r>
    </w:p>
    <w:p w14:paraId="0CDFD609" w14:textId="77777777" w:rsidR="00DD2510" w:rsidRPr="005D00D7" w:rsidRDefault="00DD2510" w:rsidP="005D00D7">
      <w:pPr>
        <w:spacing w:line="360" w:lineRule="atLeast"/>
      </w:pPr>
      <w:r w:rsidRPr="007177F3">
        <w:t>określają zdolność podmiotu do generowania zysków, a zatem ekonomiczną efektywność działalności. Dodatnie wartości wskaźników informują o racjonalnym gospodarowaniu, gdzie przychody podmiotu przewyższają koszty.</w:t>
      </w:r>
    </w:p>
    <w:p w14:paraId="0222C727" w14:textId="77777777" w:rsidR="00DD2510" w:rsidRPr="00402325" w:rsidRDefault="00DD2510" w:rsidP="002B78A5">
      <w:pPr>
        <w:suppressAutoHyphens w:val="0"/>
        <w:spacing w:line="360" w:lineRule="atLeast"/>
        <w:ind w:firstLine="708"/>
        <w:jc w:val="both"/>
      </w:pPr>
      <w:r w:rsidRPr="00402325">
        <w:rPr>
          <w:b/>
          <w:bCs/>
        </w:rPr>
        <w:t xml:space="preserve">Wskaźnik zyskowności netto </w:t>
      </w:r>
      <w:r w:rsidRPr="00402325">
        <w:t>(%) pokazuje jaką część przychodów stanowi odnotowany zysk lub strata. W ten sposób jest określona efektywność gospodarki finansowej w odniesieniu do relacji przychody ogółem – koszty ogółem podmiotu. Poziom wskaźnika zyskowności netto, świadczy o efektywności gospodarki finansowej. Ze względu na znaczne uzależnienie rentowności od specyfiki branży, porównujemy go z wielkościami uzyskiwanymi przez inne podmioty w działające w sektorze ochrony zdrowia.</w:t>
      </w:r>
    </w:p>
    <w:p w14:paraId="0B3ED945" w14:textId="77777777" w:rsidR="00DD2510" w:rsidRPr="00402325" w:rsidRDefault="00DD2510" w:rsidP="002B78A5">
      <w:pPr>
        <w:suppressAutoHyphens w:val="0"/>
        <w:spacing w:line="360" w:lineRule="atLeast"/>
        <w:jc w:val="both"/>
      </w:pPr>
      <w:r w:rsidRPr="00402325">
        <w:lastRenderedPageBreak/>
        <w:t>W przypadku branży 85.11 (Szpitalnictwo) wskaźnik rentowności wskazuje na właściwy stosunek</w:t>
      </w:r>
      <w:r>
        <w:t xml:space="preserve"> </w:t>
      </w:r>
      <w:r w:rsidRPr="00402325">
        <w:t xml:space="preserve">przychodów w stosunku do kosztów, gdyż głównym celem działalności szpitali jest udzielanie świadczeń zdrowotnych i promocja zdrowia lub prowadzenie badań naukowych </w:t>
      </w:r>
      <w:r w:rsidRPr="00402325">
        <w:br/>
        <w:t xml:space="preserve">i realizacja zadań dydaktycznych z tego zakresu. </w:t>
      </w:r>
    </w:p>
    <w:p w14:paraId="0521E518" w14:textId="15B2DD70" w:rsidR="00DD2510" w:rsidRPr="00402325" w:rsidRDefault="00DD2510" w:rsidP="002B78A5">
      <w:pPr>
        <w:suppressAutoHyphens w:val="0"/>
        <w:spacing w:line="360" w:lineRule="atLeast"/>
        <w:jc w:val="both"/>
      </w:pPr>
      <w:r w:rsidRPr="00402325">
        <w:t xml:space="preserve">Wskaźnik zyskowności netto naszej Jednostki to  </w:t>
      </w:r>
      <w:r w:rsidR="00AC31FD">
        <w:t>-8,81</w:t>
      </w:r>
      <w:r w:rsidRPr="00402325">
        <w:t>%.</w:t>
      </w:r>
    </w:p>
    <w:p w14:paraId="005E7698" w14:textId="77777777" w:rsidR="00DD2510" w:rsidRPr="00402325" w:rsidRDefault="00DD2510" w:rsidP="002B78A5">
      <w:pPr>
        <w:suppressAutoHyphens w:val="0"/>
        <w:spacing w:line="360" w:lineRule="atLeast"/>
        <w:ind w:firstLine="708"/>
        <w:jc w:val="both"/>
      </w:pPr>
      <w:r w:rsidRPr="00402325">
        <w:rPr>
          <w:b/>
          <w:bCs/>
        </w:rPr>
        <w:t xml:space="preserve">Wskaźnik zyskowności działalności operacyjnej </w:t>
      </w:r>
      <w:r w:rsidRPr="00402325">
        <w:t>(%) określa ekonomiczną efektywność działania podmiotu, z uwzględnieniem działalności podstawowej oraz pozostałej działalności operacyjnej. Poziom wskaźnika zyskowności działalności operacyjnej świadczy o efektywności działania szpitala, biorąc pod uwagę jego działalność podstawową i pozostałą. Poziom wskaźnika  rozpatrujemy w stosunku do wartości osiąganych przez inne szpitale. Z uwagi na charakter działalności szpitali, nie zakłada się jego maksymalizacji.</w:t>
      </w:r>
    </w:p>
    <w:p w14:paraId="42F8683C" w14:textId="5AC99CBC" w:rsidR="00DD2510" w:rsidRPr="00402325" w:rsidRDefault="00DD2510" w:rsidP="002B78A5">
      <w:pPr>
        <w:suppressAutoHyphens w:val="0"/>
        <w:spacing w:line="360" w:lineRule="atLeast"/>
        <w:jc w:val="both"/>
        <w:rPr>
          <w:b/>
          <w:bCs/>
        </w:rPr>
      </w:pPr>
      <w:r w:rsidRPr="00402325">
        <w:t xml:space="preserve">Ekonomiczna efektywność naszego Szpitala określona jest na poziomie  </w:t>
      </w:r>
      <w:r w:rsidR="00AF5A3C">
        <w:t>-7,73</w:t>
      </w:r>
      <w:r w:rsidRPr="00402325">
        <w:t xml:space="preserve"> %.</w:t>
      </w:r>
    </w:p>
    <w:p w14:paraId="4EC38F85" w14:textId="5CB37E19" w:rsidR="00DD2510" w:rsidRDefault="00DD2510" w:rsidP="002B78A5">
      <w:pPr>
        <w:spacing w:line="360" w:lineRule="atLeast"/>
        <w:ind w:firstLine="708"/>
        <w:jc w:val="both"/>
      </w:pPr>
      <w:r w:rsidRPr="00402325">
        <w:rPr>
          <w:b/>
          <w:bCs/>
        </w:rPr>
        <w:t xml:space="preserve">Wskaźnik zyskowności aktywów </w:t>
      </w:r>
      <w:r w:rsidRPr="00402325">
        <w:t>(%)</w:t>
      </w:r>
      <w:r w:rsidRPr="00402325">
        <w:rPr>
          <w:b/>
          <w:bCs/>
        </w:rPr>
        <w:t xml:space="preserve"> </w:t>
      </w:r>
      <w:r w:rsidRPr="00402325">
        <w:t>informuje o wielkości zysku lub straty przypadającej na jednostkę wartości zaangażowanych w podmiocie aktywów, czyli wyznacza on ogólną zdolność aktywów podmiotu do generowania zysku. Wskaźnik zyskowności aktywów, informuje o zdolności aktywów do generowania zysku operacyjnego, istotny dla podmiotów finansujących dany szpital, gdyż informuje o efektywności gospodarowania powierzonymi środkami oraz o zdolności szpitala do opłacenia odsetek od wykorzystywanego kapitału obcego.</w:t>
      </w:r>
      <w:r>
        <w:t xml:space="preserve"> </w:t>
      </w:r>
      <w:r w:rsidRPr="00402325">
        <w:t xml:space="preserve">Wskaźnik zyskowności aktywów naszej Jednostki to  </w:t>
      </w:r>
      <w:r w:rsidR="00AF5A3C">
        <w:t>-13,54</w:t>
      </w:r>
      <w:r w:rsidRPr="00402325">
        <w:t xml:space="preserve"> %.</w:t>
      </w:r>
    </w:p>
    <w:p w14:paraId="3F65B011" w14:textId="77777777" w:rsidR="00DD2510" w:rsidRPr="00402325" w:rsidRDefault="00DD2510" w:rsidP="002B78A5">
      <w:pPr>
        <w:spacing w:line="360" w:lineRule="atLeast"/>
        <w:ind w:firstLine="708"/>
        <w:jc w:val="both"/>
      </w:pPr>
    </w:p>
    <w:p w14:paraId="3B205258" w14:textId="77777777" w:rsidR="00DD2510" w:rsidRDefault="00DD2510" w:rsidP="002B78A5">
      <w:pPr>
        <w:pStyle w:val="Nagwek2"/>
        <w:framePr w:wrap="auto"/>
        <w:spacing w:line="360" w:lineRule="atLeast"/>
        <w:jc w:val="both"/>
        <w:rPr>
          <w:rStyle w:val="Pogrubienie"/>
        </w:rPr>
      </w:pPr>
      <w:bookmarkStart w:id="3" w:name="_Toc132708827"/>
      <w:r w:rsidRPr="002B78A5">
        <w:rPr>
          <w:rStyle w:val="Pogrubienie"/>
          <w:b/>
          <w:bCs/>
        </w:rPr>
        <w:t>Wskaźniki płynności</w:t>
      </w:r>
      <w:bookmarkEnd w:id="3"/>
      <w:r w:rsidRPr="002B78A5">
        <w:rPr>
          <w:rStyle w:val="Pogrubienie"/>
        </w:rPr>
        <w:t xml:space="preserve"> </w:t>
      </w:r>
    </w:p>
    <w:p w14:paraId="6203CF76" w14:textId="77777777" w:rsidR="00DD2510" w:rsidRPr="002B78A5" w:rsidRDefault="00DD2510" w:rsidP="00C76C24">
      <w:pPr>
        <w:spacing w:line="360" w:lineRule="atLeast"/>
      </w:pPr>
      <w:r w:rsidRPr="002B78A5">
        <w:t>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14:paraId="473AC55F" w14:textId="77777777" w:rsidR="00DD2510" w:rsidRPr="002B78A5" w:rsidRDefault="00DD2510" w:rsidP="002B78A5">
      <w:pPr>
        <w:suppressAutoHyphens w:val="0"/>
        <w:spacing w:line="360" w:lineRule="atLeast"/>
        <w:ind w:firstLine="576"/>
        <w:jc w:val="both"/>
      </w:pPr>
      <w:r w:rsidRPr="002B78A5">
        <w:rPr>
          <w:b/>
          <w:bCs/>
        </w:rPr>
        <w:t>Wskaźnik bieżącej płynności</w:t>
      </w:r>
      <w:r w:rsidRPr="002B78A5">
        <w:t xml:space="preserve"> określa zdolność podmiotu do spłaty zobowiązań krótkoterminowych poprzez upłynnienie wszystkich środków obrotowych. Wskaźnik bieżącej płynności informuje o możliwości spłaty zobowiązań bieżących, </w:t>
      </w:r>
      <w:r w:rsidRPr="002B78A5">
        <w:br/>
        <w:t>w przypadku, gdy stałyby się natychmiast wymagalne, np. poprzez upłynnienie majątku obrotowego, bez konieczności upłynniania części aktywów trwałych.</w:t>
      </w:r>
    </w:p>
    <w:p w14:paraId="34B2AFBE" w14:textId="77777777" w:rsidR="00DD2510" w:rsidRPr="002B78A5" w:rsidRDefault="00DD2510" w:rsidP="002B78A5">
      <w:pPr>
        <w:suppressAutoHyphens w:val="0"/>
        <w:spacing w:line="360" w:lineRule="atLeast"/>
        <w:jc w:val="both"/>
      </w:pPr>
      <w:r w:rsidRPr="002B78A5">
        <w:t>Optymalna wartość wskaźnika kształtuje się w granicach 1,20 – 1,70.</w:t>
      </w:r>
    </w:p>
    <w:p w14:paraId="460CEAE2" w14:textId="77777777" w:rsidR="00DD2510" w:rsidRPr="002B78A5" w:rsidRDefault="00DD2510" w:rsidP="002B78A5">
      <w:pPr>
        <w:suppressAutoHyphens w:val="0"/>
        <w:spacing w:line="360" w:lineRule="atLeast"/>
        <w:jc w:val="both"/>
        <w:rPr>
          <w:u w:val="single"/>
        </w:rPr>
      </w:pPr>
      <w:r w:rsidRPr="002B78A5">
        <w:t>Wysoka wartość wskaźnika oznacza nadpłynność, czyli nieefektywne gospodarowanie posiadanymi środkami: nadmierne zapasy, powstanie należności przeterminowanych lub niewykorzystane środki finansowe gromadzone na rachunkach bankowych. Niska wartość wskaźnika płynności wskazuje na brak zdolności do regulowania bieżących zobowiązań.</w:t>
      </w:r>
    </w:p>
    <w:p w14:paraId="789BB84A" w14:textId="363EAB12" w:rsidR="00DD2510" w:rsidRPr="002B78A5" w:rsidRDefault="00DD2510" w:rsidP="002B78A5">
      <w:pPr>
        <w:suppressAutoHyphens w:val="0"/>
        <w:spacing w:line="360" w:lineRule="atLeast"/>
        <w:jc w:val="both"/>
      </w:pPr>
      <w:r w:rsidRPr="002B78A5">
        <w:t>Wartość wskaźnika naszej Jednostki kształtuje się na poziomie 0,</w:t>
      </w:r>
      <w:r w:rsidR="00FE469D">
        <w:t>47</w:t>
      </w:r>
      <w:r w:rsidRPr="002B78A5">
        <w:t>.</w:t>
      </w:r>
    </w:p>
    <w:p w14:paraId="08F9E712" w14:textId="77777777" w:rsidR="00DD2510" w:rsidRPr="002B78A5" w:rsidRDefault="00DD2510" w:rsidP="002B78A5">
      <w:pPr>
        <w:spacing w:line="360" w:lineRule="atLeast"/>
        <w:ind w:firstLine="708"/>
        <w:jc w:val="both"/>
      </w:pPr>
      <w:r w:rsidRPr="002B78A5">
        <w:rPr>
          <w:b/>
          <w:bCs/>
        </w:rPr>
        <w:t>Wskaźnik szybkiej płynności</w:t>
      </w:r>
      <w:r w:rsidRPr="002B78A5">
        <w:t xml:space="preserve"> określa zdolność podmiotu do spłacania zobowiązań krótkoterminowych najbardziej płynnymi aktywami, tj. krótkoterminowymi należnościami             i aktywami finansowymi. Wskaźnik szybkiej płynności umożliwia ocenę zdolności szpitala do </w:t>
      </w:r>
      <w:r w:rsidRPr="002B78A5">
        <w:lastRenderedPageBreak/>
        <w:t>terminowego regulowania bieżących zobowiązań. W bardzo precyzyjny sposób odzwierciedla zmiany płynności, gdyż w przeciwieństwie do wskaźnika płynności bieżącej, wyłącza z aktywów obrotowych najmniej płynne aktywa jakimi są zapasy. Z punktu widzenia oceny działania szpitala jest jednym  z najważniejszych wskaźników.</w:t>
      </w:r>
    </w:p>
    <w:p w14:paraId="76225E80" w14:textId="77777777" w:rsidR="00DD2510" w:rsidRPr="002B78A5" w:rsidRDefault="00DD2510" w:rsidP="002B78A5">
      <w:pPr>
        <w:suppressAutoHyphens w:val="0"/>
        <w:spacing w:line="360" w:lineRule="atLeast"/>
        <w:jc w:val="both"/>
        <w:rPr>
          <w:u w:val="single"/>
        </w:rPr>
      </w:pPr>
      <w:r w:rsidRPr="002B78A5">
        <w:t>Optymalna wartość wskaźnika powinna kształtować się w przedziale 1,0 – 1,2. Wartość wskaźnika niższa niż 0,9 informuje o zagrożeniu zdolności szpitala do terminowego regulowania bieżących zobowiązań.</w:t>
      </w:r>
    </w:p>
    <w:p w14:paraId="1F9040D9" w14:textId="6422800B" w:rsidR="00DD2510" w:rsidRPr="002B78A5" w:rsidRDefault="00DD2510" w:rsidP="002B78A5">
      <w:pPr>
        <w:suppressAutoHyphens w:val="0"/>
        <w:spacing w:line="360" w:lineRule="atLeast"/>
        <w:jc w:val="both"/>
        <w:rPr>
          <w:color w:val="00000A"/>
        </w:rPr>
      </w:pPr>
      <w:r w:rsidRPr="002B78A5">
        <w:t>Wartość wskaźnika naszej Jednostki kształtuje się na poziomie 0,</w:t>
      </w:r>
      <w:r w:rsidR="00FE469D">
        <w:t>43</w:t>
      </w:r>
      <w:r w:rsidRPr="002B78A5">
        <w:t>.</w:t>
      </w:r>
    </w:p>
    <w:p w14:paraId="7C14917B" w14:textId="77777777" w:rsidR="00DD2510" w:rsidRPr="008C423A" w:rsidRDefault="00DD2510" w:rsidP="002B78A5">
      <w:pPr>
        <w:spacing w:line="360" w:lineRule="atLeast"/>
        <w:jc w:val="both"/>
      </w:pPr>
    </w:p>
    <w:p w14:paraId="3C1E14EB" w14:textId="77777777" w:rsidR="00DD2510" w:rsidRDefault="00DD2510" w:rsidP="002B78A5">
      <w:pPr>
        <w:pStyle w:val="Nagwek2"/>
        <w:framePr w:wrap="auto"/>
        <w:spacing w:line="360" w:lineRule="atLeast"/>
        <w:jc w:val="both"/>
        <w:rPr>
          <w:rStyle w:val="Pogrubienie"/>
          <w:b/>
          <w:bCs/>
        </w:rPr>
      </w:pPr>
      <w:bookmarkStart w:id="4" w:name="_Toc132708828"/>
      <w:r>
        <w:rPr>
          <w:rStyle w:val="Pogrubienie"/>
          <w:b/>
          <w:bCs/>
        </w:rPr>
        <w:t>Wskaźnik efektywności</w:t>
      </w:r>
      <w:bookmarkStart w:id="5" w:name="_Toc530506317"/>
      <w:bookmarkEnd w:id="4"/>
    </w:p>
    <w:p w14:paraId="69155150" w14:textId="77777777" w:rsidR="00DD2510" w:rsidRPr="00402325" w:rsidRDefault="00DD2510" w:rsidP="002B78A5">
      <w:pPr>
        <w:suppressAutoHyphens w:val="0"/>
        <w:spacing w:line="360" w:lineRule="atLeast"/>
        <w:ind w:firstLine="576"/>
        <w:jc w:val="both"/>
      </w:pPr>
      <w:r w:rsidRPr="00402325">
        <w:rPr>
          <w:b/>
          <w:bCs/>
        </w:rPr>
        <w:t>Wskaźnik rotacji należności</w:t>
      </w:r>
      <w:r w:rsidRPr="00402325">
        <w:t xml:space="preserve">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 Prawidłowa ocena wskaźnika rotacji należności wymaga zawsze dodatkowej analizy struktury należności, w tym ich podmiotowego charakteru. Wskaźnik rotacji należności należy porównywać z wartościami uzyskiwanymi przez inne szpitale.</w:t>
      </w:r>
    </w:p>
    <w:p w14:paraId="71DD5103" w14:textId="77777777" w:rsidR="00DD2510" w:rsidRPr="00402325" w:rsidRDefault="00DD2510" w:rsidP="002B78A5">
      <w:pPr>
        <w:suppressAutoHyphens w:val="0"/>
        <w:spacing w:line="360" w:lineRule="atLeast"/>
        <w:jc w:val="both"/>
      </w:pPr>
      <w:r w:rsidRPr="00402325">
        <w:t>W przypadku szpitali, odbiorcą ich usług jest w przeważającej części ludność, natomiast płatnikiem – przede wszystkim NFZ. Wskaźnik ten ocenia oprócz sytuacji płynnościowej jakość współpracy z NFZ.</w:t>
      </w:r>
    </w:p>
    <w:p w14:paraId="5279CFF5" w14:textId="77777777" w:rsidR="00DD2510" w:rsidRPr="00402325" w:rsidRDefault="00DD2510" w:rsidP="002B78A5">
      <w:pPr>
        <w:suppressAutoHyphens w:val="0"/>
        <w:spacing w:line="360" w:lineRule="atLeast"/>
        <w:jc w:val="both"/>
        <w:rPr>
          <w:u w:val="single"/>
        </w:rPr>
      </w:pPr>
      <w:r w:rsidRPr="00402325">
        <w:t>Utrzymujący się przez dłuższy okres wysoki poziom tego wskaźnika zagraża bezpieczeństwu finansowemu szpitala. Sytuacja taka powinna być wyraźnym sygnałem dla płatnika dla przyspieszenia cyklu rozliczeń ze szpitalem.</w:t>
      </w:r>
    </w:p>
    <w:p w14:paraId="262BCB30" w14:textId="7DB22E9D" w:rsidR="00DD2510" w:rsidRPr="00EB359F" w:rsidRDefault="00DD2510" w:rsidP="002B78A5">
      <w:pPr>
        <w:suppressAutoHyphens w:val="0"/>
        <w:spacing w:line="360" w:lineRule="atLeast"/>
        <w:jc w:val="both"/>
      </w:pPr>
      <w:r w:rsidRPr="00EB359F">
        <w:t>W naszej Jednostce należności z tytułu usług w 202</w:t>
      </w:r>
      <w:r w:rsidR="00FE469D">
        <w:t>2</w:t>
      </w:r>
      <w:r w:rsidRPr="00EB359F">
        <w:t xml:space="preserve"> r. regulowane były w dużym stopniu terminowo, zarówno przez płatnika NFZ, jak również przez pozostałych odbiorców usług zdrowotnych, o czym świadczy  wartość wskaźnika  w  liczbie  </w:t>
      </w:r>
      <w:r w:rsidR="00FE469D">
        <w:t>37</w:t>
      </w:r>
      <w:r w:rsidRPr="00EB359F">
        <w:t>.</w:t>
      </w:r>
    </w:p>
    <w:p w14:paraId="791EBA77" w14:textId="77777777" w:rsidR="00DD2510" w:rsidRPr="00402325" w:rsidRDefault="00DD2510" w:rsidP="002B78A5">
      <w:pPr>
        <w:suppressAutoHyphens w:val="0"/>
        <w:spacing w:line="360" w:lineRule="atLeast"/>
        <w:jc w:val="both"/>
        <w:rPr>
          <w:b/>
          <w:bCs/>
        </w:rPr>
      </w:pPr>
      <w:r w:rsidRPr="00402325">
        <w:rPr>
          <w:b/>
          <w:bCs/>
        </w:rPr>
        <w:t>Wskaźnik rotacji zobowiązań</w:t>
      </w:r>
      <w:r w:rsidRPr="00402325">
        <w:t xml:space="preserve"> (w dniach) określa okres, jaki jest potrzebny podmiotowi                         do spłacenia swoich zobowiązań krótkoterminowych. Zbyt wysoka wartość wskaźnika może świadczyć o trudnościach podmiotu w regulowaniu swoich bieżących zobowiązań. Wskaźnik rotacji zobowiązań jest jednym z podstawowych wskaźników oceny sytuacji finansowej szpitali. Dla utrzymania prawidłowych relacji z kontrahentami, wielkość wskaźnika powinna kształtować się na poziomie terminów płatności charakterystycznych dla sektora ochrony zdrowia. Utrzymująca się przez dłuższy okres wartość wskaźnika powyżej 60 dni wskazuje na problemy z regulowaniem zobowiązań, co może zapowiadać konieczność naliczania przez kontrahentów odsetek ustawowych, a w następnej kolejności skierowanie spraw na drogę postępowania sądowego. Jako graniczną przyjmuje się wartość 90 dni.</w:t>
      </w:r>
      <w:r>
        <w:t xml:space="preserve"> </w:t>
      </w:r>
      <w:r w:rsidRPr="00402325">
        <w:t xml:space="preserve">Wartość wskaźnika naszej Jednostki </w:t>
      </w:r>
      <w:r>
        <w:t>kształtuje się na poziomie 18 dni.</w:t>
      </w:r>
    </w:p>
    <w:p w14:paraId="2AE452C1" w14:textId="77777777" w:rsidR="00DD2510" w:rsidRPr="00402325" w:rsidRDefault="00DD2510" w:rsidP="002B78A5">
      <w:pPr>
        <w:suppressAutoHyphens w:val="0"/>
        <w:spacing w:line="360" w:lineRule="atLeast"/>
        <w:jc w:val="both"/>
        <w:rPr>
          <w:u w:val="single"/>
        </w:rPr>
      </w:pPr>
      <w:r w:rsidRPr="00402325">
        <w:t xml:space="preserve">Za modelową relację uznaje się, gdy wskaźnik rotacji zobowiązań z tytułu dostaw i usług równy jest wskaźnikowi rotacji należności. Przy analizie tego wskaźnika należy wziąć pod uwagę strukturę czasową i podmiotową zobowiązań. </w:t>
      </w:r>
    </w:p>
    <w:p w14:paraId="144782C5" w14:textId="77777777" w:rsidR="00DD2510" w:rsidRPr="008C423A" w:rsidRDefault="00DD2510" w:rsidP="002B78A5">
      <w:pPr>
        <w:spacing w:line="360" w:lineRule="atLeast"/>
        <w:jc w:val="both"/>
      </w:pPr>
    </w:p>
    <w:p w14:paraId="16706C14" w14:textId="77777777" w:rsidR="00DD2510" w:rsidRDefault="00DD2510" w:rsidP="002B78A5">
      <w:pPr>
        <w:pStyle w:val="Nagwek2"/>
        <w:framePr w:wrap="auto"/>
        <w:spacing w:line="360" w:lineRule="atLeast"/>
        <w:jc w:val="both"/>
        <w:rPr>
          <w:rStyle w:val="Pogrubienie"/>
          <w:b/>
          <w:bCs/>
        </w:rPr>
      </w:pPr>
      <w:bookmarkStart w:id="6" w:name="_Toc132708829"/>
      <w:bookmarkEnd w:id="5"/>
      <w:r>
        <w:rPr>
          <w:rStyle w:val="Pogrubienie"/>
          <w:b/>
          <w:bCs/>
        </w:rPr>
        <w:t>Wskaźnik zadłużenia</w:t>
      </w:r>
      <w:bookmarkEnd w:id="6"/>
    </w:p>
    <w:p w14:paraId="71EEEAB1" w14:textId="4A5A7483" w:rsidR="00DD2510" w:rsidRPr="00FC74B7" w:rsidRDefault="00DD2510" w:rsidP="002B78A5">
      <w:pPr>
        <w:spacing w:line="360" w:lineRule="atLeast"/>
        <w:ind w:firstLine="708"/>
        <w:jc w:val="both"/>
        <w:rPr>
          <w:b/>
          <w:bCs/>
        </w:rPr>
      </w:pPr>
      <w:r w:rsidRPr="00402325">
        <w:rPr>
          <w:b/>
          <w:bCs/>
        </w:rPr>
        <w:t>Wskaźnik zadłużenia aktywów</w:t>
      </w:r>
      <w:r w:rsidRPr="00402325">
        <w:t xml:space="preserve"> (%) informuje o stopniu finansowania aktywów kapitałami obcymi. Zbyt wysoka wartość, wskaźnika zadłużenia aktywów,</w:t>
      </w:r>
      <w:r w:rsidRPr="00402325">
        <w:rPr>
          <w:b/>
          <w:bCs/>
        </w:rPr>
        <w:t xml:space="preserve"> </w:t>
      </w:r>
      <w:r w:rsidRPr="00402325">
        <w:t>podważa wiarygodność szpitala, natomiast zbyt niska może świadczyć o braku umiejętności w wykorzystaniu zewnętrznych źródeł finansowania jednostki dla zwiększenia efektywności jej działania. Wartość wskaźnika na poziomie 0,</w:t>
      </w:r>
      <w:r w:rsidR="007A34DB">
        <w:t>62</w:t>
      </w:r>
      <w:r w:rsidRPr="00402325">
        <w:t xml:space="preserve"> (</w:t>
      </w:r>
      <w:r w:rsidR="007A34DB">
        <w:t>62</w:t>
      </w:r>
      <w:r w:rsidRPr="00402325">
        <w:t xml:space="preserve"> %) jest optymalna, niemniej dla prawidłowej interpretacji wskaźnika, konieczna jest znajomość struktury zadłużenia oraz innych wielkości, w tym wskaźnika płynności. Wartość wskaźnika zadłużenia aktywów w naszej Jednostce to </w:t>
      </w:r>
      <w:r w:rsidR="007A34DB">
        <w:t>62</w:t>
      </w:r>
      <w:r w:rsidRPr="00402325">
        <w:t>%</w:t>
      </w:r>
      <w:r>
        <w:t>.</w:t>
      </w:r>
    </w:p>
    <w:p w14:paraId="75AE87AD" w14:textId="5C60CA1F" w:rsidR="00DD2510" w:rsidRDefault="00DD2510" w:rsidP="002B78A5">
      <w:pPr>
        <w:spacing w:line="360" w:lineRule="atLeast"/>
        <w:ind w:firstLine="708"/>
        <w:jc w:val="both"/>
      </w:pPr>
      <w:r w:rsidRPr="00402325">
        <w:rPr>
          <w:b/>
          <w:bCs/>
        </w:rPr>
        <w:t>Wskaźnik wypłacalności</w:t>
      </w:r>
      <w:r w:rsidRPr="00402325">
        <w:t xml:space="preserve"> określa wielkość funduszy obcych przypadającą na jednostkę funduszu własnego. Wysoka wartość wskaźnika wskazuje na możliwość utraty zdolności do regulowania przez podmiot zobowiązań. Wartość wskaźnika wypłacalności powyżej 4,00 wskazuje na możliwość utraty zdolności do regulowania przez szpital zobowiązań. Jednocześnie bardzo niska wartość wskaźnika może oznaczać brak efektywnego wykorzystania finansowania zewnętrznego. Wskaźnik  wypłacalności  w  naszej  Jednostce</w:t>
      </w:r>
      <w:r w:rsidR="002A1624">
        <w:t xml:space="preserve"> wynosi </w:t>
      </w:r>
      <w:r w:rsidR="007A34DB">
        <w:t>-1,74</w:t>
      </w:r>
      <w:r>
        <w:t>.</w:t>
      </w:r>
    </w:p>
    <w:p w14:paraId="4397EFF5" w14:textId="77777777" w:rsidR="00DD2510" w:rsidRDefault="00DD2510" w:rsidP="002B78A5">
      <w:pPr>
        <w:spacing w:line="360" w:lineRule="atLeast"/>
        <w:ind w:firstLine="708"/>
        <w:jc w:val="both"/>
      </w:pPr>
    </w:p>
    <w:p w14:paraId="36DD6A70" w14:textId="77777777" w:rsidR="00DD2510" w:rsidRDefault="00DD2510" w:rsidP="002B78A5">
      <w:pPr>
        <w:spacing w:line="360" w:lineRule="atLeast"/>
        <w:ind w:firstLine="708"/>
        <w:jc w:val="both"/>
      </w:pPr>
    </w:p>
    <w:p w14:paraId="67491BC2" w14:textId="77777777" w:rsidR="00DD2510" w:rsidRDefault="00DD2510" w:rsidP="002B78A5">
      <w:pPr>
        <w:spacing w:line="360" w:lineRule="atLeast"/>
        <w:ind w:firstLine="708"/>
        <w:jc w:val="both"/>
      </w:pPr>
    </w:p>
    <w:p w14:paraId="7ABACFD8" w14:textId="77777777" w:rsidR="00DD2510" w:rsidRDefault="00DD2510" w:rsidP="002B78A5">
      <w:pPr>
        <w:spacing w:line="360" w:lineRule="atLeast"/>
        <w:ind w:firstLine="708"/>
        <w:jc w:val="both"/>
      </w:pPr>
    </w:p>
    <w:p w14:paraId="6BC480A9" w14:textId="77777777" w:rsidR="00DD2510" w:rsidRDefault="00DD2510" w:rsidP="002B78A5">
      <w:pPr>
        <w:spacing w:line="360" w:lineRule="atLeast"/>
        <w:ind w:firstLine="708"/>
        <w:jc w:val="both"/>
      </w:pPr>
    </w:p>
    <w:p w14:paraId="6C88C283" w14:textId="77777777" w:rsidR="00DD2510" w:rsidRDefault="00DD2510" w:rsidP="002B78A5">
      <w:pPr>
        <w:spacing w:line="360" w:lineRule="atLeast"/>
        <w:ind w:firstLine="708"/>
        <w:jc w:val="both"/>
      </w:pPr>
    </w:p>
    <w:p w14:paraId="559B03D0" w14:textId="77777777" w:rsidR="00DD2510" w:rsidRDefault="00DD2510" w:rsidP="002B78A5">
      <w:pPr>
        <w:spacing w:line="360" w:lineRule="atLeast"/>
        <w:ind w:firstLine="708"/>
        <w:jc w:val="both"/>
      </w:pPr>
    </w:p>
    <w:p w14:paraId="36EE35E1" w14:textId="77777777" w:rsidR="00DD2510" w:rsidRDefault="00DD2510" w:rsidP="002B78A5">
      <w:pPr>
        <w:spacing w:line="360" w:lineRule="atLeast"/>
        <w:ind w:firstLine="708"/>
        <w:jc w:val="both"/>
      </w:pPr>
    </w:p>
    <w:p w14:paraId="6B95C11E" w14:textId="77777777" w:rsidR="00DD2510" w:rsidRDefault="00DD2510" w:rsidP="002B78A5">
      <w:pPr>
        <w:spacing w:line="360" w:lineRule="atLeast"/>
        <w:ind w:firstLine="708"/>
        <w:jc w:val="both"/>
      </w:pPr>
    </w:p>
    <w:p w14:paraId="6B1E8791" w14:textId="77777777" w:rsidR="00DD2510" w:rsidRDefault="00DD2510" w:rsidP="002B78A5">
      <w:pPr>
        <w:spacing w:line="360" w:lineRule="atLeast"/>
        <w:ind w:firstLine="708"/>
        <w:jc w:val="both"/>
      </w:pPr>
    </w:p>
    <w:p w14:paraId="0D43C6A1" w14:textId="77777777" w:rsidR="00DD2510" w:rsidRDefault="00DD2510" w:rsidP="002B78A5">
      <w:pPr>
        <w:spacing w:line="360" w:lineRule="atLeast"/>
        <w:ind w:firstLine="708"/>
        <w:jc w:val="both"/>
      </w:pPr>
    </w:p>
    <w:p w14:paraId="7C27D930" w14:textId="77777777" w:rsidR="00DD2510" w:rsidRDefault="00DD2510" w:rsidP="002B78A5">
      <w:pPr>
        <w:spacing w:line="360" w:lineRule="atLeast"/>
        <w:ind w:firstLine="708"/>
        <w:jc w:val="both"/>
      </w:pPr>
    </w:p>
    <w:p w14:paraId="1FC40A50" w14:textId="77777777" w:rsidR="00DD2510" w:rsidRDefault="00DD2510" w:rsidP="002B78A5">
      <w:pPr>
        <w:spacing w:line="360" w:lineRule="atLeast"/>
        <w:ind w:firstLine="708"/>
        <w:jc w:val="both"/>
      </w:pPr>
    </w:p>
    <w:p w14:paraId="3ECC6CEA" w14:textId="77777777" w:rsidR="00DD2510" w:rsidRDefault="00DD2510" w:rsidP="002B78A5">
      <w:pPr>
        <w:spacing w:line="360" w:lineRule="atLeast"/>
        <w:ind w:firstLine="708"/>
        <w:jc w:val="both"/>
      </w:pPr>
    </w:p>
    <w:p w14:paraId="437B1C48" w14:textId="77777777" w:rsidR="00DD2510" w:rsidRDefault="00DD2510" w:rsidP="002B78A5">
      <w:pPr>
        <w:spacing w:line="360" w:lineRule="atLeast"/>
        <w:ind w:firstLine="708"/>
        <w:jc w:val="both"/>
      </w:pPr>
    </w:p>
    <w:p w14:paraId="64F8D6BD" w14:textId="77777777" w:rsidR="00DD2510" w:rsidRDefault="00DD2510" w:rsidP="002B78A5">
      <w:pPr>
        <w:spacing w:line="360" w:lineRule="atLeast"/>
        <w:ind w:firstLine="708"/>
        <w:jc w:val="both"/>
      </w:pPr>
    </w:p>
    <w:p w14:paraId="3952EFAC" w14:textId="77777777" w:rsidR="00DD2510" w:rsidRDefault="00DD2510" w:rsidP="002B78A5">
      <w:pPr>
        <w:spacing w:line="360" w:lineRule="atLeast"/>
        <w:ind w:firstLine="708"/>
        <w:jc w:val="both"/>
      </w:pPr>
    </w:p>
    <w:p w14:paraId="3DC15940" w14:textId="77777777" w:rsidR="00DD2510" w:rsidRDefault="00DD2510" w:rsidP="002B78A5">
      <w:pPr>
        <w:spacing w:line="360" w:lineRule="atLeast"/>
        <w:ind w:firstLine="708"/>
        <w:jc w:val="both"/>
      </w:pPr>
    </w:p>
    <w:p w14:paraId="3D89B5D4" w14:textId="77777777" w:rsidR="00DD2510" w:rsidRDefault="00DD2510" w:rsidP="002B78A5">
      <w:pPr>
        <w:spacing w:line="360" w:lineRule="atLeast"/>
        <w:ind w:firstLine="708"/>
        <w:jc w:val="both"/>
      </w:pPr>
    </w:p>
    <w:p w14:paraId="67116E17" w14:textId="77777777" w:rsidR="00DD2510" w:rsidRDefault="00DD2510" w:rsidP="002B78A5">
      <w:pPr>
        <w:spacing w:line="360" w:lineRule="atLeast"/>
        <w:ind w:firstLine="708"/>
        <w:jc w:val="both"/>
      </w:pPr>
    </w:p>
    <w:p w14:paraId="22B94DA9" w14:textId="77777777" w:rsidR="00DD2510" w:rsidRDefault="00DD2510" w:rsidP="002B78A5">
      <w:pPr>
        <w:spacing w:line="360" w:lineRule="atLeast"/>
        <w:ind w:firstLine="708"/>
        <w:jc w:val="both"/>
      </w:pPr>
    </w:p>
    <w:p w14:paraId="39E5160D" w14:textId="77777777" w:rsidR="00DD2510" w:rsidRDefault="00DD2510" w:rsidP="002B78A5">
      <w:pPr>
        <w:spacing w:line="360" w:lineRule="atLeast"/>
        <w:ind w:firstLine="708"/>
        <w:jc w:val="both"/>
      </w:pPr>
    </w:p>
    <w:p w14:paraId="248BB968" w14:textId="50AF145C" w:rsidR="00DD2510" w:rsidRPr="005D00D7" w:rsidRDefault="00DD2510" w:rsidP="005D00D7">
      <w:pPr>
        <w:pStyle w:val="Nagwek3"/>
        <w:framePr w:wrap="auto"/>
      </w:pPr>
      <w:bookmarkStart w:id="7" w:name="_Toc71286661"/>
      <w:bookmarkStart w:id="8" w:name="_Toc132708830"/>
      <w:r w:rsidRPr="00402325">
        <w:lastRenderedPageBreak/>
        <w:t xml:space="preserve">Ocena wskaźnikowa sytuacji </w:t>
      </w:r>
      <w:proofErr w:type="spellStart"/>
      <w:r w:rsidRPr="00402325">
        <w:t>ekonomiczno</w:t>
      </w:r>
      <w:proofErr w:type="spellEnd"/>
      <w:r w:rsidRPr="00402325">
        <w:t xml:space="preserve"> – finansowej samodzielnego publicznego  zakładu  opieki  zdrowotnej  za  202</w:t>
      </w:r>
      <w:r w:rsidR="00E25F24">
        <w:t>2</w:t>
      </w:r>
      <w:r w:rsidRPr="00402325">
        <w:t xml:space="preserve"> r.</w:t>
      </w:r>
      <w:bookmarkEnd w:id="7"/>
      <w:bookmarkEnd w:id="8"/>
    </w:p>
    <w:p w14:paraId="1F54859A" w14:textId="77777777" w:rsidR="00DD2510" w:rsidRDefault="00DD2510" w:rsidP="008C423A">
      <w:pPr>
        <w:spacing w:before="120"/>
      </w:pPr>
      <w:r w:rsidRPr="00402325">
        <w:t xml:space="preserve">Tab. 5 Tabela podsumowująca wyniki oceny sytuacji </w:t>
      </w:r>
      <w:proofErr w:type="spellStart"/>
      <w:r w:rsidRPr="00402325">
        <w:t>ekonomiczno</w:t>
      </w:r>
      <w:proofErr w:type="spellEnd"/>
      <w:r w:rsidRPr="00402325">
        <w:t xml:space="preserve"> – finansowej.</w:t>
      </w:r>
    </w:p>
    <w:tbl>
      <w:tblPr>
        <w:tblW w:w="9265" w:type="dxa"/>
        <w:tblInd w:w="55" w:type="dxa"/>
        <w:tblCellMar>
          <w:left w:w="70" w:type="dxa"/>
          <w:right w:w="70" w:type="dxa"/>
        </w:tblCellMar>
        <w:tblLook w:val="0000" w:firstRow="0" w:lastRow="0" w:firstColumn="0" w:lastColumn="0" w:noHBand="0" w:noVBand="0"/>
      </w:tblPr>
      <w:tblGrid>
        <w:gridCol w:w="2204"/>
        <w:gridCol w:w="3927"/>
        <w:gridCol w:w="1818"/>
        <w:gridCol w:w="1316"/>
      </w:tblGrid>
      <w:tr w:rsidR="00DD2510" w:rsidRPr="00247368" w14:paraId="0494F1FC" w14:textId="77777777">
        <w:trPr>
          <w:trHeight w:val="317"/>
        </w:trPr>
        <w:tc>
          <w:tcPr>
            <w:tcW w:w="9265" w:type="dxa"/>
            <w:gridSpan w:val="4"/>
            <w:tcBorders>
              <w:top w:val="single" w:sz="4" w:space="0" w:color="auto"/>
              <w:left w:val="single" w:sz="4" w:space="0" w:color="auto"/>
              <w:bottom w:val="single" w:sz="8" w:space="0" w:color="auto"/>
              <w:right w:val="single" w:sz="4" w:space="0" w:color="auto"/>
            </w:tcBorders>
            <w:shd w:val="clear" w:color="000000" w:fill="FFFFFF"/>
            <w:vAlign w:val="center"/>
          </w:tcPr>
          <w:p w14:paraId="08962EFA" w14:textId="1CC7CE44" w:rsidR="00DD2510" w:rsidRPr="00247368" w:rsidRDefault="00DD2510" w:rsidP="002B78A5">
            <w:pPr>
              <w:suppressAutoHyphens w:val="0"/>
              <w:jc w:val="center"/>
              <w:rPr>
                <w:b/>
                <w:bCs/>
                <w:sz w:val="18"/>
                <w:szCs w:val="18"/>
                <w:lang w:eastAsia="zh-CN"/>
              </w:rPr>
            </w:pPr>
            <w:bookmarkStart w:id="9" w:name="_Toc511970156"/>
            <w:bookmarkStart w:id="10" w:name="_Toc511971148"/>
            <w:bookmarkStart w:id="11" w:name="_Toc511971857"/>
            <w:bookmarkStart w:id="12" w:name="_Toc511973481"/>
            <w:bookmarkStart w:id="13" w:name="_Toc512403187"/>
            <w:bookmarkStart w:id="14" w:name="_Toc6895141"/>
            <w:r w:rsidRPr="00247368">
              <w:rPr>
                <w:b/>
                <w:bCs/>
                <w:sz w:val="18"/>
                <w:szCs w:val="18"/>
                <w:lang w:eastAsia="zh-CN"/>
              </w:rPr>
              <w:t>TABELA PODSUMOWUJĄCA WYNIKI OCENY SYTUACJI EKONOMICZNO-FINANSOWEJ za 202</w:t>
            </w:r>
            <w:r w:rsidR="00152C02">
              <w:rPr>
                <w:b/>
                <w:bCs/>
                <w:sz w:val="18"/>
                <w:szCs w:val="18"/>
                <w:lang w:eastAsia="zh-CN"/>
              </w:rPr>
              <w:t>2</w:t>
            </w:r>
            <w:r w:rsidRPr="00247368">
              <w:rPr>
                <w:b/>
                <w:bCs/>
                <w:sz w:val="18"/>
                <w:szCs w:val="18"/>
                <w:lang w:eastAsia="zh-CN"/>
              </w:rPr>
              <w:t xml:space="preserve"> rok</w:t>
            </w:r>
          </w:p>
        </w:tc>
      </w:tr>
      <w:tr w:rsidR="00DD2510" w:rsidRPr="00247368" w14:paraId="6DD51948" w14:textId="77777777">
        <w:trPr>
          <w:trHeight w:val="363"/>
        </w:trPr>
        <w:tc>
          <w:tcPr>
            <w:tcW w:w="2204" w:type="dxa"/>
            <w:vMerge w:val="restart"/>
            <w:tcBorders>
              <w:top w:val="nil"/>
              <w:left w:val="single" w:sz="8" w:space="0" w:color="auto"/>
              <w:bottom w:val="single" w:sz="8" w:space="0" w:color="000000"/>
              <w:right w:val="single" w:sz="8" w:space="0" w:color="auto"/>
            </w:tcBorders>
            <w:shd w:val="clear" w:color="000000" w:fill="FFCC00"/>
            <w:noWrap/>
            <w:vAlign w:val="center"/>
          </w:tcPr>
          <w:p w14:paraId="6113F6C2" w14:textId="77777777" w:rsidR="00DD2510" w:rsidRPr="00247368" w:rsidRDefault="00DD2510" w:rsidP="002B78A5">
            <w:pPr>
              <w:suppressAutoHyphens w:val="0"/>
              <w:jc w:val="center"/>
              <w:rPr>
                <w:sz w:val="18"/>
                <w:szCs w:val="18"/>
                <w:lang w:eastAsia="zh-CN"/>
              </w:rPr>
            </w:pPr>
            <w:r w:rsidRPr="00247368">
              <w:rPr>
                <w:sz w:val="18"/>
                <w:szCs w:val="18"/>
                <w:lang w:eastAsia="zh-CN"/>
              </w:rPr>
              <w:t>Grupa</w:t>
            </w:r>
          </w:p>
        </w:tc>
        <w:tc>
          <w:tcPr>
            <w:tcW w:w="3926" w:type="dxa"/>
            <w:vMerge w:val="restart"/>
            <w:tcBorders>
              <w:top w:val="nil"/>
              <w:left w:val="single" w:sz="8" w:space="0" w:color="auto"/>
              <w:bottom w:val="single" w:sz="8" w:space="0" w:color="000000"/>
              <w:right w:val="nil"/>
            </w:tcBorders>
            <w:shd w:val="clear" w:color="000000" w:fill="FFCC00"/>
            <w:vAlign w:val="center"/>
          </w:tcPr>
          <w:p w14:paraId="55EE62BE" w14:textId="77777777" w:rsidR="00DD2510" w:rsidRPr="00247368" w:rsidRDefault="00DD2510" w:rsidP="002B78A5">
            <w:pPr>
              <w:suppressAutoHyphens w:val="0"/>
              <w:jc w:val="center"/>
              <w:rPr>
                <w:sz w:val="18"/>
                <w:szCs w:val="18"/>
                <w:lang w:eastAsia="zh-CN"/>
              </w:rPr>
            </w:pPr>
            <w:r w:rsidRPr="00247368">
              <w:rPr>
                <w:sz w:val="18"/>
                <w:szCs w:val="18"/>
                <w:lang w:eastAsia="zh-CN"/>
              </w:rPr>
              <w:t>Wskaźniki</w:t>
            </w:r>
          </w:p>
        </w:tc>
        <w:tc>
          <w:tcPr>
            <w:tcW w:w="1818" w:type="dxa"/>
            <w:vMerge w:val="restart"/>
            <w:tcBorders>
              <w:top w:val="nil"/>
              <w:left w:val="single" w:sz="8" w:space="0" w:color="auto"/>
              <w:bottom w:val="single" w:sz="8" w:space="0" w:color="000000"/>
              <w:right w:val="single" w:sz="4" w:space="0" w:color="auto"/>
            </w:tcBorders>
            <w:shd w:val="clear" w:color="000000" w:fill="FFCC00"/>
            <w:vAlign w:val="center"/>
          </w:tcPr>
          <w:p w14:paraId="354EECF0" w14:textId="77777777" w:rsidR="00DD2510" w:rsidRPr="00247368" w:rsidRDefault="00DD2510" w:rsidP="002B78A5">
            <w:pPr>
              <w:suppressAutoHyphens w:val="0"/>
              <w:jc w:val="center"/>
              <w:rPr>
                <w:sz w:val="18"/>
                <w:szCs w:val="18"/>
                <w:lang w:eastAsia="zh-CN"/>
              </w:rPr>
            </w:pPr>
            <w:r w:rsidRPr="00247368">
              <w:rPr>
                <w:sz w:val="18"/>
                <w:szCs w:val="18"/>
                <w:lang w:eastAsia="zh-CN"/>
              </w:rPr>
              <w:t xml:space="preserve">Wartość wskaźnika </w:t>
            </w:r>
          </w:p>
        </w:tc>
        <w:tc>
          <w:tcPr>
            <w:tcW w:w="1315" w:type="dxa"/>
            <w:vMerge w:val="restart"/>
            <w:tcBorders>
              <w:top w:val="nil"/>
              <w:left w:val="nil"/>
              <w:bottom w:val="single" w:sz="8" w:space="0" w:color="000000"/>
              <w:right w:val="single" w:sz="8" w:space="0" w:color="auto"/>
            </w:tcBorders>
            <w:shd w:val="clear" w:color="000000" w:fill="FFCC00"/>
            <w:vAlign w:val="center"/>
          </w:tcPr>
          <w:p w14:paraId="2FE48BD4" w14:textId="77777777" w:rsidR="00DD2510" w:rsidRPr="00247368" w:rsidRDefault="00DD2510" w:rsidP="002B78A5">
            <w:pPr>
              <w:suppressAutoHyphens w:val="0"/>
              <w:jc w:val="center"/>
              <w:rPr>
                <w:sz w:val="18"/>
                <w:szCs w:val="18"/>
                <w:lang w:eastAsia="zh-CN"/>
              </w:rPr>
            </w:pPr>
            <w:r w:rsidRPr="00247368">
              <w:rPr>
                <w:sz w:val="18"/>
                <w:szCs w:val="18"/>
                <w:lang w:eastAsia="zh-CN"/>
              </w:rPr>
              <w:t>Ocena uzyskana</w:t>
            </w:r>
          </w:p>
        </w:tc>
      </w:tr>
      <w:tr w:rsidR="00DD2510" w:rsidRPr="00247368" w14:paraId="365DCBA9" w14:textId="77777777">
        <w:trPr>
          <w:trHeight w:val="310"/>
        </w:trPr>
        <w:tc>
          <w:tcPr>
            <w:tcW w:w="2204" w:type="dxa"/>
            <w:vMerge/>
            <w:tcBorders>
              <w:top w:val="nil"/>
              <w:left w:val="single" w:sz="8" w:space="0" w:color="auto"/>
              <w:bottom w:val="single" w:sz="8" w:space="0" w:color="000000"/>
              <w:right w:val="single" w:sz="8" w:space="0" w:color="auto"/>
            </w:tcBorders>
            <w:vAlign w:val="center"/>
          </w:tcPr>
          <w:p w14:paraId="2337D41F" w14:textId="77777777" w:rsidR="00DD2510" w:rsidRPr="00247368" w:rsidRDefault="00DD2510" w:rsidP="002B78A5">
            <w:pPr>
              <w:suppressAutoHyphens w:val="0"/>
              <w:rPr>
                <w:sz w:val="18"/>
                <w:szCs w:val="18"/>
                <w:lang w:eastAsia="zh-CN"/>
              </w:rPr>
            </w:pPr>
          </w:p>
        </w:tc>
        <w:tc>
          <w:tcPr>
            <w:tcW w:w="3926" w:type="dxa"/>
            <w:vMerge/>
            <w:tcBorders>
              <w:top w:val="nil"/>
              <w:left w:val="single" w:sz="8" w:space="0" w:color="auto"/>
              <w:bottom w:val="single" w:sz="8" w:space="0" w:color="000000"/>
              <w:right w:val="nil"/>
            </w:tcBorders>
            <w:vAlign w:val="center"/>
          </w:tcPr>
          <w:p w14:paraId="2FD17192" w14:textId="77777777" w:rsidR="00DD2510" w:rsidRPr="00247368" w:rsidRDefault="00DD2510" w:rsidP="002B78A5">
            <w:pPr>
              <w:suppressAutoHyphens w:val="0"/>
              <w:rPr>
                <w:sz w:val="18"/>
                <w:szCs w:val="18"/>
                <w:lang w:eastAsia="zh-CN"/>
              </w:rPr>
            </w:pPr>
          </w:p>
        </w:tc>
        <w:tc>
          <w:tcPr>
            <w:tcW w:w="1818" w:type="dxa"/>
            <w:vMerge/>
            <w:tcBorders>
              <w:top w:val="nil"/>
              <w:left w:val="single" w:sz="8" w:space="0" w:color="auto"/>
              <w:bottom w:val="single" w:sz="8" w:space="0" w:color="000000"/>
              <w:right w:val="single" w:sz="4" w:space="0" w:color="auto"/>
            </w:tcBorders>
            <w:vAlign w:val="center"/>
          </w:tcPr>
          <w:p w14:paraId="10FEAC62" w14:textId="77777777" w:rsidR="00DD2510" w:rsidRPr="00247368" w:rsidRDefault="00DD2510" w:rsidP="002B78A5">
            <w:pPr>
              <w:suppressAutoHyphens w:val="0"/>
              <w:rPr>
                <w:sz w:val="18"/>
                <w:szCs w:val="18"/>
                <w:lang w:eastAsia="zh-CN"/>
              </w:rPr>
            </w:pPr>
          </w:p>
        </w:tc>
        <w:tc>
          <w:tcPr>
            <w:tcW w:w="1315" w:type="dxa"/>
            <w:vMerge/>
            <w:tcBorders>
              <w:top w:val="nil"/>
              <w:left w:val="nil"/>
              <w:bottom w:val="single" w:sz="8" w:space="0" w:color="000000"/>
              <w:right w:val="single" w:sz="8" w:space="0" w:color="auto"/>
            </w:tcBorders>
            <w:vAlign w:val="center"/>
          </w:tcPr>
          <w:p w14:paraId="1527E3E0" w14:textId="77777777" w:rsidR="00DD2510" w:rsidRPr="00247368" w:rsidRDefault="00DD2510" w:rsidP="002B78A5">
            <w:pPr>
              <w:suppressAutoHyphens w:val="0"/>
              <w:rPr>
                <w:sz w:val="18"/>
                <w:szCs w:val="18"/>
                <w:lang w:eastAsia="zh-CN"/>
              </w:rPr>
            </w:pPr>
          </w:p>
        </w:tc>
      </w:tr>
      <w:tr w:rsidR="00DD2510" w:rsidRPr="00247368" w14:paraId="3C8C1B16" w14:textId="77777777">
        <w:trPr>
          <w:trHeight w:val="335"/>
        </w:trPr>
        <w:tc>
          <w:tcPr>
            <w:tcW w:w="2204" w:type="dxa"/>
            <w:vMerge w:val="restart"/>
            <w:tcBorders>
              <w:top w:val="nil"/>
              <w:left w:val="single" w:sz="8" w:space="0" w:color="auto"/>
              <w:bottom w:val="single" w:sz="8" w:space="0" w:color="000000"/>
              <w:right w:val="single" w:sz="8" w:space="0" w:color="auto"/>
            </w:tcBorders>
            <w:shd w:val="clear" w:color="000000" w:fill="969696"/>
            <w:vAlign w:val="center"/>
          </w:tcPr>
          <w:p w14:paraId="475AF094"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I. WSKAŹNIKI ZYSKOWNOŚCI</w:t>
            </w:r>
          </w:p>
        </w:tc>
        <w:tc>
          <w:tcPr>
            <w:tcW w:w="3926" w:type="dxa"/>
            <w:tcBorders>
              <w:top w:val="nil"/>
              <w:left w:val="nil"/>
              <w:bottom w:val="single" w:sz="4" w:space="0" w:color="auto"/>
              <w:right w:val="nil"/>
            </w:tcBorders>
            <w:vAlign w:val="center"/>
          </w:tcPr>
          <w:p w14:paraId="06CC43F9" w14:textId="77777777" w:rsidR="00DD2510" w:rsidRPr="00247368" w:rsidRDefault="00DD2510" w:rsidP="002B78A5">
            <w:pPr>
              <w:suppressAutoHyphens w:val="0"/>
              <w:rPr>
                <w:sz w:val="18"/>
                <w:szCs w:val="18"/>
                <w:lang w:eastAsia="zh-CN"/>
              </w:rPr>
            </w:pPr>
            <w:r w:rsidRPr="00247368">
              <w:rPr>
                <w:sz w:val="18"/>
                <w:szCs w:val="18"/>
                <w:lang w:eastAsia="zh-CN"/>
              </w:rPr>
              <w:t xml:space="preserve">Wskaźnik zyskowności  netto  (%)                                                           </w:t>
            </w:r>
          </w:p>
        </w:tc>
        <w:tc>
          <w:tcPr>
            <w:tcW w:w="1818" w:type="dxa"/>
            <w:tcBorders>
              <w:top w:val="nil"/>
              <w:left w:val="single" w:sz="8" w:space="0" w:color="auto"/>
              <w:bottom w:val="single" w:sz="4" w:space="0" w:color="auto"/>
              <w:right w:val="single" w:sz="4" w:space="0" w:color="auto"/>
            </w:tcBorders>
            <w:noWrap/>
            <w:vAlign w:val="center"/>
          </w:tcPr>
          <w:p w14:paraId="655851A4" w14:textId="650B2CD3" w:rsidR="00DD2510" w:rsidRPr="00247368" w:rsidRDefault="00152C02" w:rsidP="002B78A5">
            <w:pPr>
              <w:suppressAutoHyphens w:val="0"/>
              <w:jc w:val="center"/>
              <w:rPr>
                <w:sz w:val="18"/>
                <w:szCs w:val="18"/>
                <w:lang w:eastAsia="zh-CN"/>
              </w:rPr>
            </w:pPr>
            <w:r>
              <w:rPr>
                <w:sz w:val="18"/>
                <w:szCs w:val="18"/>
                <w:lang w:eastAsia="zh-CN"/>
              </w:rPr>
              <w:t>-8,81</w:t>
            </w:r>
            <w:r w:rsidR="00DD2510" w:rsidRPr="00247368">
              <w:rPr>
                <w:sz w:val="18"/>
                <w:szCs w:val="18"/>
                <w:lang w:eastAsia="zh-CN"/>
              </w:rPr>
              <w:t>%</w:t>
            </w:r>
          </w:p>
        </w:tc>
        <w:tc>
          <w:tcPr>
            <w:tcW w:w="1315" w:type="dxa"/>
            <w:tcBorders>
              <w:top w:val="nil"/>
              <w:left w:val="nil"/>
              <w:bottom w:val="single" w:sz="4" w:space="0" w:color="auto"/>
              <w:right w:val="single" w:sz="8" w:space="0" w:color="auto"/>
            </w:tcBorders>
            <w:shd w:val="clear" w:color="000000" w:fill="FFFFFF"/>
            <w:noWrap/>
            <w:vAlign w:val="center"/>
          </w:tcPr>
          <w:p w14:paraId="0840E489" w14:textId="02B9B981" w:rsidR="00DD2510" w:rsidRPr="00247368" w:rsidRDefault="00152C02" w:rsidP="002B78A5">
            <w:pPr>
              <w:suppressAutoHyphens w:val="0"/>
              <w:jc w:val="center"/>
              <w:rPr>
                <w:sz w:val="18"/>
                <w:szCs w:val="18"/>
                <w:lang w:eastAsia="zh-CN"/>
              </w:rPr>
            </w:pPr>
            <w:r>
              <w:rPr>
                <w:sz w:val="18"/>
                <w:szCs w:val="18"/>
                <w:lang w:eastAsia="zh-CN"/>
              </w:rPr>
              <w:t>0</w:t>
            </w:r>
          </w:p>
        </w:tc>
      </w:tr>
      <w:tr w:rsidR="00DD2510" w:rsidRPr="00247368" w14:paraId="512D615D" w14:textId="77777777">
        <w:trPr>
          <w:trHeight w:val="438"/>
        </w:trPr>
        <w:tc>
          <w:tcPr>
            <w:tcW w:w="2204" w:type="dxa"/>
            <w:vMerge/>
            <w:tcBorders>
              <w:top w:val="nil"/>
              <w:left w:val="single" w:sz="8" w:space="0" w:color="auto"/>
              <w:bottom w:val="single" w:sz="8" w:space="0" w:color="000000"/>
              <w:right w:val="single" w:sz="8" w:space="0" w:color="auto"/>
            </w:tcBorders>
            <w:vAlign w:val="center"/>
          </w:tcPr>
          <w:p w14:paraId="65F7E120" w14:textId="77777777" w:rsidR="00DD2510" w:rsidRPr="00247368" w:rsidRDefault="00DD2510" w:rsidP="002B78A5">
            <w:pPr>
              <w:suppressAutoHyphens w:val="0"/>
              <w:rPr>
                <w:b/>
                <w:bCs/>
                <w:sz w:val="18"/>
                <w:szCs w:val="18"/>
                <w:lang w:eastAsia="zh-CN"/>
              </w:rPr>
            </w:pPr>
          </w:p>
        </w:tc>
        <w:tc>
          <w:tcPr>
            <w:tcW w:w="3926" w:type="dxa"/>
            <w:tcBorders>
              <w:top w:val="nil"/>
              <w:left w:val="nil"/>
              <w:bottom w:val="single" w:sz="4" w:space="0" w:color="auto"/>
              <w:right w:val="nil"/>
            </w:tcBorders>
            <w:vAlign w:val="center"/>
          </w:tcPr>
          <w:p w14:paraId="71846310" w14:textId="77777777" w:rsidR="00DD2510" w:rsidRPr="00247368" w:rsidRDefault="00DD2510" w:rsidP="002B78A5">
            <w:pPr>
              <w:suppressAutoHyphens w:val="0"/>
              <w:rPr>
                <w:sz w:val="18"/>
                <w:szCs w:val="18"/>
                <w:lang w:eastAsia="zh-CN"/>
              </w:rPr>
            </w:pPr>
            <w:r w:rsidRPr="00247368">
              <w:rPr>
                <w:sz w:val="18"/>
                <w:szCs w:val="18"/>
                <w:lang w:eastAsia="zh-CN"/>
              </w:rPr>
              <w:t xml:space="preserve">Wskaźnik zyskowności działalności operacyjnej (%)            </w:t>
            </w:r>
          </w:p>
        </w:tc>
        <w:tc>
          <w:tcPr>
            <w:tcW w:w="1818" w:type="dxa"/>
            <w:tcBorders>
              <w:top w:val="nil"/>
              <w:left w:val="single" w:sz="8" w:space="0" w:color="auto"/>
              <w:bottom w:val="single" w:sz="4" w:space="0" w:color="auto"/>
              <w:right w:val="single" w:sz="4" w:space="0" w:color="auto"/>
            </w:tcBorders>
            <w:vAlign w:val="center"/>
          </w:tcPr>
          <w:p w14:paraId="7ED93FDD" w14:textId="192636D7" w:rsidR="00DD2510" w:rsidRPr="00247368" w:rsidRDefault="00152C02" w:rsidP="002B78A5">
            <w:pPr>
              <w:suppressAutoHyphens w:val="0"/>
              <w:jc w:val="center"/>
              <w:rPr>
                <w:sz w:val="18"/>
                <w:szCs w:val="18"/>
                <w:lang w:eastAsia="zh-CN"/>
              </w:rPr>
            </w:pPr>
            <w:r>
              <w:rPr>
                <w:sz w:val="18"/>
                <w:szCs w:val="18"/>
                <w:lang w:eastAsia="zh-CN"/>
              </w:rPr>
              <w:t>-7,73%</w:t>
            </w:r>
          </w:p>
        </w:tc>
        <w:tc>
          <w:tcPr>
            <w:tcW w:w="1315" w:type="dxa"/>
            <w:tcBorders>
              <w:top w:val="nil"/>
              <w:left w:val="nil"/>
              <w:bottom w:val="single" w:sz="4" w:space="0" w:color="auto"/>
              <w:right w:val="single" w:sz="8" w:space="0" w:color="auto"/>
            </w:tcBorders>
            <w:shd w:val="clear" w:color="000000" w:fill="FFFFFF"/>
            <w:vAlign w:val="center"/>
          </w:tcPr>
          <w:p w14:paraId="6F740694" w14:textId="6742C79F" w:rsidR="00DD2510" w:rsidRPr="00247368" w:rsidRDefault="00152C02" w:rsidP="002B78A5">
            <w:pPr>
              <w:suppressAutoHyphens w:val="0"/>
              <w:jc w:val="center"/>
              <w:rPr>
                <w:sz w:val="18"/>
                <w:szCs w:val="18"/>
                <w:lang w:eastAsia="zh-CN"/>
              </w:rPr>
            </w:pPr>
            <w:r>
              <w:rPr>
                <w:sz w:val="18"/>
                <w:szCs w:val="18"/>
                <w:lang w:eastAsia="zh-CN"/>
              </w:rPr>
              <w:t>0</w:t>
            </w:r>
          </w:p>
        </w:tc>
      </w:tr>
      <w:tr w:rsidR="00DD2510" w:rsidRPr="00247368" w14:paraId="31D7E23B" w14:textId="77777777">
        <w:trPr>
          <w:trHeight w:val="60"/>
        </w:trPr>
        <w:tc>
          <w:tcPr>
            <w:tcW w:w="2204" w:type="dxa"/>
            <w:vMerge/>
            <w:tcBorders>
              <w:top w:val="nil"/>
              <w:left w:val="single" w:sz="8" w:space="0" w:color="auto"/>
              <w:bottom w:val="single" w:sz="8" w:space="0" w:color="000000"/>
              <w:right w:val="single" w:sz="8" w:space="0" w:color="auto"/>
            </w:tcBorders>
            <w:vAlign w:val="center"/>
          </w:tcPr>
          <w:p w14:paraId="54FD0187" w14:textId="77777777" w:rsidR="00DD2510" w:rsidRPr="00247368" w:rsidRDefault="00DD2510" w:rsidP="002B78A5">
            <w:pPr>
              <w:suppressAutoHyphens w:val="0"/>
              <w:rPr>
                <w:b/>
                <w:bCs/>
                <w:sz w:val="18"/>
                <w:szCs w:val="18"/>
                <w:lang w:eastAsia="zh-CN"/>
              </w:rPr>
            </w:pPr>
          </w:p>
        </w:tc>
        <w:tc>
          <w:tcPr>
            <w:tcW w:w="3926" w:type="dxa"/>
            <w:tcBorders>
              <w:top w:val="nil"/>
              <w:left w:val="nil"/>
              <w:bottom w:val="nil"/>
              <w:right w:val="nil"/>
            </w:tcBorders>
            <w:vAlign w:val="center"/>
          </w:tcPr>
          <w:p w14:paraId="09308298" w14:textId="77777777" w:rsidR="00DD2510" w:rsidRPr="00247368" w:rsidRDefault="00DD2510" w:rsidP="002B78A5">
            <w:pPr>
              <w:suppressAutoHyphens w:val="0"/>
              <w:rPr>
                <w:sz w:val="18"/>
                <w:szCs w:val="18"/>
                <w:lang w:eastAsia="zh-CN"/>
              </w:rPr>
            </w:pPr>
            <w:r w:rsidRPr="00247368">
              <w:rPr>
                <w:sz w:val="18"/>
                <w:szCs w:val="18"/>
                <w:lang w:eastAsia="zh-CN"/>
              </w:rPr>
              <w:t>Wskaźnik zyskowność aktywów (%)</w:t>
            </w:r>
          </w:p>
        </w:tc>
        <w:tc>
          <w:tcPr>
            <w:tcW w:w="1818" w:type="dxa"/>
            <w:tcBorders>
              <w:top w:val="nil"/>
              <w:left w:val="single" w:sz="8" w:space="0" w:color="auto"/>
              <w:bottom w:val="nil"/>
              <w:right w:val="single" w:sz="4" w:space="0" w:color="auto"/>
            </w:tcBorders>
            <w:shd w:val="clear" w:color="000000" w:fill="FFFFFF"/>
            <w:vAlign w:val="center"/>
          </w:tcPr>
          <w:p w14:paraId="250EBFF0" w14:textId="48D2A5A2" w:rsidR="00DD2510" w:rsidRPr="00247368" w:rsidRDefault="00152C02" w:rsidP="002B78A5">
            <w:pPr>
              <w:suppressAutoHyphens w:val="0"/>
              <w:jc w:val="center"/>
              <w:rPr>
                <w:sz w:val="18"/>
                <w:szCs w:val="18"/>
                <w:lang w:eastAsia="zh-CN"/>
              </w:rPr>
            </w:pPr>
            <w:r>
              <w:rPr>
                <w:sz w:val="18"/>
                <w:szCs w:val="18"/>
                <w:lang w:eastAsia="zh-CN"/>
              </w:rPr>
              <w:t>-13,54%</w:t>
            </w:r>
          </w:p>
        </w:tc>
        <w:tc>
          <w:tcPr>
            <w:tcW w:w="1315" w:type="dxa"/>
            <w:tcBorders>
              <w:top w:val="nil"/>
              <w:left w:val="nil"/>
              <w:bottom w:val="nil"/>
              <w:right w:val="single" w:sz="8" w:space="0" w:color="auto"/>
            </w:tcBorders>
            <w:shd w:val="clear" w:color="000000" w:fill="FFFFFF"/>
            <w:vAlign w:val="center"/>
          </w:tcPr>
          <w:p w14:paraId="41E60EF0" w14:textId="456AB28D" w:rsidR="00DD2510" w:rsidRPr="00247368" w:rsidRDefault="00152C02" w:rsidP="002B78A5">
            <w:pPr>
              <w:suppressAutoHyphens w:val="0"/>
              <w:jc w:val="center"/>
              <w:rPr>
                <w:sz w:val="18"/>
                <w:szCs w:val="18"/>
                <w:lang w:eastAsia="zh-CN"/>
              </w:rPr>
            </w:pPr>
            <w:r>
              <w:rPr>
                <w:sz w:val="18"/>
                <w:szCs w:val="18"/>
                <w:lang w:eastAsia="zh-CN"/>
              </w:rPr>
              <w:t>0</w:t>
            </w:r>
          </w:p>
        </w:tc>
      </w:tr>
      <w:tr w:rsidR="00DD2510" w:rsidRPr="00247368" w14:paraId="13B5E4CD" w14:textId="77777777">
        <w:trPr>
          <w:trHeight w:val="196"/>
        </w:trPr>
        <w:tc>
          <w:tcPr>
            <w:tcW w:w="6131" w:type="dxa"/>
            <w:gridSpan w:val="2"/>
            <w:tcBorders>
              <w:top w:val="single" w:sz="8" w:space="0" w:color="auto"/>
              <w:left w:val="single" w:sz="4" w:space="0" w:color="auto"/>
              <w:bottom w:val="nil"/>
              <w:right w:val="nil"/>
            </w:tcBorders>
            <w:shd w:val="clear" w:color="000000" w:fill="FFFFFF"/>
            <w:noWrap/>
            <w:vAlign w:val="center"/>
          </w:tcPr>
          <w:p w14:paraId="420ED17E"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single" w:sz="8" w:space="0" w:color="auto"/>
              <w:left w:val="single" w:sz="8" w:space="0" w:color="auto"/>
              <w:bottom w:val="single" w:sz="8" w:space="0" w:color="auto"/>
              <w:right w:val="single" w:sz="4" w:space="0" w:color="auto"/>
            </w:tcBorders>
            <w:shd w:val="clear" w:color="000000" w:fill="969696"/>
            <w:vAlign w:val="center"/>
          </w:tcPr>
          <w:p w14:paraId="4D87A35E" w14:textId="77777777" w:rsidR="00DD2510" w:rsidRPr="00247368" w:rsidRDefault="00DD2510" w:rsidP="002B78A5">
            <w:pPr>
              <w:suppressAutoHyphens w:val="0"/>
              <w:rPr>
                <w:b/>
                <w:bCs/>
                <w:sz w:val="18"/>
                <w:szCs w:val="18"/>
                <w:lang w:eastAsia="zh-CN"/>
              </w:rPr>
            </w:pPr>
            <w:r w:rsidRPr="00247368">
              <w:rPr>
                <w:b/>
                <w:bCs/>
                <w:sz w:val="18"/>
                <w:szCs w:val="18"/>
                <w:lang w:eastAsia="zh-CN"/>
              </w:rPr>
              <w:t>I. Razem</w:t>
            </w:r>
          </w:p>
        </w:tc>
        <w:tc>
          <w:tcPr>
            <w:tcW w:w="1315" w:type="dxa"/>
            <w:tcBorders>
              <w:top w:val="single" w:sz="8" w:space="0" w:color="auto"/>
              <w:left w:val="single" w:sz="4" w:space="0" w:color="auto"/>
              <w:bottom w:val="single" w:sz="8" w:space="0" w:color="auto"/>
              <w:right w:val="single" w:sz="8" w:space="0" w:color="auto"/>
            </w:tcBorders>
            <w:shd w:val="clear" w:color="000000" w:fill="969696"/>
            <w:vAlign w:val="center"/>
          </w:tcPr>
          <w:p w14:paraId="679329C2" w14:textId="1762F6C5" w:rsidR="00DD2510" w:rsidRPr="00247368" w:rsidRDefault="00152C02" w:rsidP="002B78A5">
            <w:pPr>
              <w:suppressAutoHyphens w:val="0"/>
              <w:jc w:val="center"/>
              <w:rPr>
                <w:b/>
                <w:bCs/>
                <w:sz w:val="18"/>
                <w:szCs w:val="18"/>
                <w:lang w:eastAsia="zh-CN"/>
              </w:rPr>
            </w:pPr>
            <w:r>
              <w:rPr>
                <w:b/>
                <w:bCs/>
                <w:sz w:val="18"/>
                <w:szCs w:val="18"/>
                <w:lang w:eastAsia="zh-CN"/>
              </w:rPr>
              <w:t>0</w:t>
            </w:r>
          </w:p>
        </w:tc>
      </w:tr>
      <w:tr w:rsidR="00DD2510" w:rsidRPr="00247368" w14:paraId="00502CBF" w14:textId="77777777">
        <w:trPr>
          <w:trHeight w:val="93"/>
        </w:trPr>
        <w:tc>
          <w:tcPr>
            <w:tcW w:w="2204" w:type="dxa"/>
            <w:tcBorders>
              <w:top w:val="nil"/>
              <w:left w:val="single" w:sz="4" w:space="0" w:color="auto"/>
              <w:bottom w:val="nil"/>
              <w:right w:val="nil"/>
            </w:tcBorders>
            <w:shd w:val="clear" w:color="000000" w:fill="FFFFFF"/>
            <w:noWrap/>
            <w:vAlign w:val="center"/>
          </w:tcPr>
          <w:p w14:paraId="44174079"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3926" w:type="dxa"/>
            <w:tcBorders>
              <w:top w:val="nil"/>
              <w:left w:val="nil"/>
              <w:bottom w:val="nil"/>
              <w:right w:val="nil"/>
            </w:tcBorders>
            <w:shd w:val="clear" w:color="000000" w:fill="FFFFFF"/>
            <w:noWrap/>
            <w:vAlign w:val="center"/>
          </w:tcPr>
          <w:p w14:paraId="4B113E0B" w14:textId="77777777" w:rsidR="00DD2510" w:rsidRPr="00247368" w:rsidRDefault="00DD2510" w:rsidP="002B78A5">
            <w:pPr>
              <w:suppressAutoHyphens w:val="0"/>
              <w:rPr>
                <w:b/>
                <w:bCs/>
                <w:sz w:val="18"/>
                <w:szCs w:val="18"/>
                <w:lang w:eastAsia="zh-CN"/>
              </w:rPr>
            </w:pPr>
          </w:p>
        </w:tc>
        <w:tc>
          <w:tcPr>
            <w:tcW w:w="1818" w:type="dxa"/>
            <w:tcBorders>
              <w:top w:val="nil"/>
              <w:left w:val="nil"/>
              <w:bottom w:val="nil"/>
              <w:right w:val="nil"/>
            </w:tcBorders>
            <w:shd w:val="clear" w:color="000000" w:fill="FFFFFF"/>
            <w:vAlign w:val="center"/>
          </w:tcPr>
          <w:p w14:paraId="6F860EE6"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c>
          <w:tcPr>
            <w:tcW w:w="1315" w:type="dxa"/>
            <w:tcBorders>
              <w:top w:val="nil"/>
              <w:left w:val="nil"/>
              <w:bottom w:val="nil"/>
              <w:right w:val="single" w:sz="4" w:space="0" w:color="auto"/>
            </w:tcBorders>
            <w:shd w:val="clear" w:color="000000" w:fill="FFFFFF"/>
            <w:vAlign w:val="center"/>
          </w:tcPr>
          <w:p w14:paraId="04F684C5"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DD2510" w:rsidRPr="00247368" w14:paraId="045A1B93" w14:textId="77777777">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1ED15130"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II. WSKAŹNIKI PŁYNNOŚCI</w:t>
            </w:r>
          </w:p>
        </w:tc>
        <w:tc>
          <w:tcPr>
            <w:tcW w:w="3926" w:type="dxa"/>
            <w:tcBorders>
              <w:top w:val="single" w:sz="8" w:space="0" w:color="auto"/>
              <w:left w:val="nil"/>
              <w:bottom w:val="single" w:sz="4" w:space="0" w:color="auto"/>
              <w:right w:val="nil"/>
            </w:tcBorders>
            <w:vAlign w:val="center"/>
          </w:tcPr>
          <w:p w14:paraId="5F2461F3" w14:textId="77777777" w:rsidR="00DD2510" w:rsidRPr="00247368" w:rsidRDefault="00DD2510" w:rsidP="002B78A5">
            <w:pPr>
              <w:suppressAutoHyphens w:val="0"/>
              <w:rPr>
                <w:sz w:val="18"/>
                <w:szCs w:val="18"/>
                <w:lang w:eastAsia="zh-CN"/>
              </w:rPr>
            </w:pPr>
            <w:r w:rsidRPr="00247368">
              <w:rPr>
                <w:sz w:val="18"/>
                <w:szCs w:val="18"/>
                <w:lang w:eastAsia="zh-CN"/>
              </w:rPr>
              <w:t xml:space="preserve">Wskaźnik bieżącej płynności                                           </w:t>
            </w:r>
          </w:p>
        </w:tc>
        <w:tc>
          <w:tcPr>
            <w:tcW w:w="1818" w:type="dxa"/>
            <w:tcBorders>
              <w:top w:val="single" w:sz="8" w:space="0" w:color="auto"/>
              <w:left w:val="single" w:sz="8" w:space="0" w:color="auto"/>
              <w:bottom w:val="single" w:sz="4" w:space="0" w:color="auto"/>
              <w:right w:val="single" w:sz="4" w:space="0" w:color="auto"/>
            </w:tcBorders>
            <w:noWrap/>
            <w:vAlign w:val="center"/>
          </w:tcPr>
          <w:p w14:paraId="11CE8265" w14:textId="1A3AFBF9" w:rsidR="00DD2510" w:rsidRPr="00247368" w:rsidRDefault="00152C02" w:rsidP="002B78A5">
            <w:pPr>
              <w:suppressAutoHyphens w:val="0"/>
              <w:jc w:val="center"/>
              <w:rPr>
                <w:sz w:val="18"/>
                <w:szCs w:val="18"/>
                <w:lang w:eastAsia="zh-CN"/>
              </w:rPr>
            </w:pPr>
            <w:r>
              <w:rPr>
                <w:sz w:val="18"/>
                <w:szCs w:val="18"/>
                <w:lang w:eastAsia="zh-CN"/>
              </w:rPr>
              <w:t>0,47</w:t>
            </w:r>
          </w:p>
        </w:tc>
        <w:tc>
          <w:tcPr>
            <w:tcW w:w="1315" w:type="dxa"/>
            <w:tcBorders>
              <w:top w:val="single" w:sz="8" w:space="0" w:color="auto"/>
              <w:left w:val="nil"/>
              <w:bottom w:val="single" w:sz="4" w:space="0" w:color="auto"/>
              <w:right w:val="single" w:sz="8" w:space="0" w:color="auto"/>
            </w:tcBorders>
            <w:shd w:val="clear" w:color="000000" w:fill="FFFFFF"/>
            <w:noWrap/>
            <w:vAlign w:val="center"/>
          </w:tcPr>
          <w:p w14:paraId="3A6D0B5F" w14:textId="77777777" w:rsidR="00DD2510" w:rsidRPr="00247368" w:rsidRDefault="00DD2510" w:rsidP="002B78A5">
            <w:pPr>
              <w:suppressAutoHyphens w:val="0"/>
              <w:jc w:val="center"/>
              <w:rPr>
                <w:sz w:val="18"/>
                <w:szCs w:val="18"/>
                <w:lang w:eastAsia="zh-CN"/>
              </w:rPr>
            </w:pPr>
            <w:r w:rsidRPr="00247368">
              <w:rPr>
                <w:sz w:val="18"/>
                <w:szCs w:val="18"/>
                <w:lang w:eastAsia="zh-CN"/>
              </w:rPr>
              <w:t>0</w:t>
            </w:r>
          </w:p>
        </w:tc>
      </w:tr>
      <w:tr w:rsidR="00DD2510" w:rsidRPr="00247368" w14:paraId="62C3828F" w14:textId="77777777">
        <w:trPr>
          <w:trHeight w:val="60"/>
        </w:trPr>
        <w:tc>
          <w:tcPr>
            <w:tcW w:w="2204" w:type="dxa"/>
            <w:vMerge/>
            <w:tcBorders>
              <w:top w:val="single" w:sz="8" w:space="0" w:color="auto"/>
              <w:left w:val="single" w:sz="8" w:space="0" w:color="auto"/>
              <w:bottom w:val="single" w:sz="8" w:space="0" w:color="000000"/>
              <w:right w:val="single" w:sz="8" w:space="0" w:color="auto"/>
            </w:tcBorders>
            <w:vAlign w:val="center"/>
          </w:tcPr>
          <w:p w14:paraId="0FE084A3" w14:textId="77777777" w:rsidR="00DD2510" w:rsidRPr="00247368" w:rsidRDefault="00DD2510" w:rsidP="002B78A5">
            <w:pPr>
              <w:suppressAutoHyphens w:val="0"/>
              <w:rPr>
                <w:b/>
                <w:bCs/>
                <w:sz w:val="18"/>
                <w:szCs w:val="18"/>
                <w:lang w:eastAsia="zh-CN"/>
              </w:rPr>
            </w:pPr>
          </w:p>
        </w:tc>
        <w:tc>
          <w:tcPr>
            <w:tcW w:w="3926" w:type="dxa"/>
            <w:tcBorders>
              <w:top w:val="nil"/>
              <w:left w:val="nil"/>
              <w:bottom w:val="single" w:sz="4" w:space="0" w:color="auto"/>
              <w:right w:val="nil"/>
            </w:tcBorders>
            <w:vAlign w:val="center"/>
          </w:tcPr>
          <w:p w14:paraId="334D1777" w14:textId="77777777" w:rsidR="00DD2510" w:rsidRPr="00247368" w:rsidRDefault="00DD2510" w:rsidP="002B78A5">
            <w:pPr>
              <w:suppressAutoHyphens w:val="0"/>
              <w:rPr>
                <w:sz w:val="18"/>
                <w:szCs w:val="18"/>
                <w:lang w:eastAsia="zh-CN"/>
              </w:rPr>
            </w:pPr>
            <w:r w:rsidRPr="00247368">
              <w:rPr>
                <w:sz w:val="18"/>
                <w:szCs w:val="18"/>
                <w:lang w:eastAsia="zh-CN"/>
              </w:rPr>
              <w:t>Wskaźnik szybkiej płynności</w:t>
            </w:r>
          </w:p>
        </w:tc>
        <w:tc>
          <w:tcPr>
            <w:tcW w:w="1818" w:type="dxa"/>
            <w:tcBorders>
              <w:top w:val="nil"/>
              <w:left w:val="single" w:sz="8" w:space="0" w:color="auto"/>
              <w:bottom w:val="single" w:sz="8" w:space="0" w:color="auto"/>
              <w:right w:val="single" w:sz="4" w:space="0" w:color="auto"/>
            </w:tcBorders>
            <w:shd w:val="clear" w:color="000000" w:fill="FFFFFF"/>
            <w:vAlign w:val="center"/>
          </w:tcPr>
          <w:p w14:paraId="2F89F730" w14:textId="41C4A321" w:rsidR="00DD2510" w:rsidRPr="00247368" w:rsidRDefault="00152C02" w:rsidP="002B78A5">
            <w:pPr>
              <w:suppressAutoHyphens w:val="0"/>
              <w:jc w:val="center"/>
              <w:rPr>
                <w:sz w:val="18"/>
                <w:szCs w:val="18"/>
                <w:lang w:eastAsia="zh-CN"/>
              </w:rPr>
            </w:pPr>
            <w:r>
              <w:rPr>
                <w:sz w:val="18"/>
                <w:szCs w:val="18"/>
                <w:lang w:eastAsia="zh-CN"/>
              </w:rPr>
              <w:t>0,43</w:t>
            </w:r>
          </w:p>
        </w:tc>
        <w:tc>
          <w:tcPr>
            <w:tcW w:w="1315" w:type="dxa"/>
            <w:tcBorders>
              <w:top w:val="nil"/>
              <w:left w:val="nil"/>
              <w:bottom w:val="single" w:sz="8" w:space="0" w:color="auto"/>
              <w:right w:val="single" w:sz="8" w:space="0" w:color="auto"/>
            </w:tcBorders>
            <w:shd w:val="clear" w:color="000000" w:fill="FFFFFF"/>
            <w:vAlign w:val="center"/>
          </w:tcPr>
          <w:p w14:paraId="5ADCC6CD" w14:textId="77777777" w:rsidR="00DD2510" w:rsidRPr="00247368" w:rsidRDefault="00DD2510" w:rsidP="002B78A5">
            <w:pPr>
              <w:suppressAutoHyphens w:val="0"/>
              <w:jc w:val="center"/>
              <w:rPr>
                <w:sz w:val="18"/>
                <w:szCs w:val="18"/>
                <w:lang w:eastAsia="zh-CN"/>
              </w:rPr>
            </w:pPr>
            <w:r w:rsidRPr="00247368">
              <w:rPr>
                <w:sz w:val="18"/>
                <w:szCs w:val="18"/>
                <w:lang w:eastAsia="zh-CN"/>
              </w:rPr>
              <w:t>0</w:t>
            </w:r>
          </w:p>
        </w:tc>
      </w:tr>
      <w:tr w:rsidR="00DD2510" w:rsidRPr="00247368" w14:paraId="6369889E" w14:textId="77777777">
        <w:trPr>
          <w:trHeight w:val="215"/>
        </w:trPr>
        <w:tc>
          <w:tcPr>
            <w:tcW w:w="6131" w:type="dxa"/>
            <w:gridSpan w:val="2"/>
            <w:tcBorders>
              <w:top w:val="single" w:sz="8" w:space="0" w:color="auto"/>
              <w:left w:val="single" w:sz="4" w:space="0" w:color="auto"/>
              <w:bottom w:val="nil"/>
              <w:right w:val="nil"/>
            </w:tcBorders>
            <w:shd w:val="clear" w:color="000000" w:fill="FFFFFF"/>
            <w:noWrap/>
            <w:vAlign w:val="center"/>
          </w:tcPr>
          <w:p w14:paraId="01748ADC"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single" w:sz="8" w:space="0" w:color="auto"/>
              <w:bottom w:val="single" w:sz="8" w:space="0" w:color="auto"/>
              <w:right w:val="single" w:sz="4" w:space="0" w:color="auto"/>
            </w:tcBorders>
            <w:shd w:val="clear" w:color="000000" w:fill="969696"/>
            <w:vAlign w:val="center"/>
          </w:tcPr>
          <w:p w14:paraId="6EFFC467" w14:textId="77777777" w:rsidR="00DD2510" w:rsidRPr="00247368" w:rsidRDefault="00DD2510" w:rsidP="002B78A5">
            <w:pPr>
              <w:suppressAutoHyphens w:val="0"/>
              <w:rPr>
                <w:b/>
                <w:bCs/>
                <w:sz w:val="18"/>
                <w:szCs w:val="18"/>
                <w:lang w:eastAsia="zh-CN"/>
              </w:rPr>
            </w:pPr>
            <w:r w:rsidRPr="00247368">
              <w:rPr>
                <w:b/>
                <w:bCs/>
                <w:sz w:val="18"/>
                <w:szCs w:val="18"/>
                <w:lang w:eastAsia="zh-CN"/>
              </w:rPr>
              <w:t>II. Razem</w:t>
            </w:r>
          </w:p>
        </w:tc>
        <w:tc>
          <w:tcPr>
            <w:tcW w:w="1315" w:type="dxa"/>
            <w:tcBorders>
              <w:top w:val="nil"/>
              <w:left w:val="single" w:sz="4" w:space="0" w:color="auto"/>
              <w:bottom w:val="single" w:sz="8" w:space="0" w:color="auto"/>
              <w:right w:val="single" w:sz="8" w:space="0" w:color="auto"/>
            </w:tcBorders>
            <w:shd w:val="clear" w:color="000000" w:fill="969696"/>
            <w:vAlign w:val="center"/>
          </w:tcPr>
          <w:p w14:paraId="651EA33F"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0</w:t>
            </w:r>
          </w:p>
        </w:tc>
      </w:tr>
      <w:tr w:rsidR="00DD2510" w:rsidRPr="00247368" w14:paraId="4C79B198" w14:textId="77777777">
        <w:trPr>
          <w:trHeight w:val="93"/>
        </w:trPr>
        <w:tc>
          <w:tcPr>
            <w:tcW w:w="2204" w:type="dxa"/>
            <w:tcBorders>
              <w:top w:val="nil"/>
              <w:left w:val="single" w:sz="4" w:space="0" w:color="auto"/>
              <w:bottom w:val="nil"/>
              <w:right w:val="nil"/>
            </w:tcBorders>
            <w:noWrap/>
            <w:vAlign w:val="center"/>
          </w:tcPr>
          <w:p w14:paraId="62AB0258" w14:textId="77777777" w:rsidR="00DD2510" w:rsidRPr="00247368" w:rsidRDefault="00DD2510" w:rsidP="002B78A5">
            <w:pPr>
              <w:suppressAutoHyphens w:val="0"/>
              <w:rPr>
                <w:sz w:val="18"/>
                <w:szCs w:val="18"/>
                <w:lang w:eastAsia="zh-CN"/>
              </w:rPr>
            </w:pPr>
          </w:p>
        </w:tc>
        <w:tc>
          <w:tcPr>
            <w:tcW w:w="3926" w:type="dxa"/>
            <w:tcBorders>
              <w:top w:val="nil"/>
              <w:left w:val="nil"/>
              <w:bottom w:val="nil"/>
              <w:right w:val="nil"/>
            </w:tcBorders>
            <w:vAlign w:val="center"/>
          </w:tcPr>
          <w:p w14:paraId="5585C7DA" w14:textId="77777777" w:rsidR="00DD2510" w:rsidRPr="00247368" w:rsidRDefault="00DD2510" w:rsidP="002B78A5">
            <w:pPr>
              <w:suppressAutoHyphens w:val="0"/>
              <w:rPr>
                <w:b/>
                <w:bCs/>
                <w:sz w:val="18"/>
                <w:szCs w:val="18"/>
                <w:lang w:eastAsia="zh-CN"/>
              </w:rPr>
            </w:pPr>
          </w:p>
        </w:tc>
        <w:tc>
          <w:tcPr>
            <w:tcW w:w="1818" w:type="dxa"/>
            <w:tcBorders>
              <w:top w:val="single" w:sz="4" w:space="0" w:color="auto"/>
              <w:left w:val="nil"/>
              <w:bottom w:val="nil"/>
              <w:right w:val="nil"/>
            </w:tcBorders>
            <w:vAlign w:val="center"/>
          </w:tcPr>
          <w:p w14:paraId="0850E6E4"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c>
          <w:tcPr>
            <w:tcW w:w="1315" w:type="dxa"/>
            <w:tcBorders>
              <w:top w:val="single" w:sz="4" w:space="0" w:color="auto"/>
              <w:left w:val="nil"/>
              <w:bottom w:val="nil"/>
              <w:right w:val="single" w:sz="4" w:space="0" w:color="auto"/>
            </w:tcBorders>
            <w:shd w:val="clear" w:color="000000" w:fill="FFFFFF"/>
            <w:vAlign w:val="center"/>
          </w:tcPr>
          <w:p w14:paraId="22B67380"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r>
      <w:tr w:rsidR="00DD2510" w:rsidRPr="00247368" w14:paraId="5BF10AB0" w14:textId="77777777">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739EE19E"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III. WSKAŹNIKI EFEKTYWNOŚCI</w:t>
            </w:r>
          </w:p>
        </w:tc>
        <w:tc>
          <w:tcPr>
            <w:tcW w:w="3926" w:type="dxa"/>
            <w:tcBorders>
              <w:top w:val="single" w:sz="8" w:space="0" w:color="auto"/>
              <w:left w:val="nil"/>
              <w:bottom w:val="single" w:sz="4" w:space="0" w:color="auto"/>
              <w:right w:val="single" w:sz="4" w:space="0" w:color="auto"/>
            </w:tcBorders>
            <w:vAlign w:val="center"/>
          </w:tcPr>
          <w:p w14:paraId="31425C97" w14:textId="77777777" w:rsidR="00DD2510" w:rsidRPr="00247368" w:rsidRDefault="00DD2510" w:rsidP="002B78A5">
            <w:pPr>
              <w:suppressAutoHyphens w:val="0"/>
              <w:rPr>
                <w:sz w:val="18"/>
                <w:szCs w:val="18"/>
                <w:lang w:eastAsia="zh-CN"/>
              </w:rPr>
            </w:pPr>
            <w:r w:rsidRPr="00247368">
              <w:rPr>
                <w:sz w:val="18"/>
                <w:szCs w:val="18"/>
                <w:lang w:eastAsia="zh-CN"/>
              </w:rPr>
              <w:t xml:space="preserve">Wskaźnik rotacji należności (w dniach)                           </w:t>
            </w:r>
          </w:p>
        </w:tc>
        <w:tc>
          <w:tcPr>
            <w:tcW w:w="1818" w:type="dxa"/>
            <w:tcBorders>
              <w:top w:val="single" w:sz="8" w:space="0" w:color="auto"/>
              <w:left w:val="nil"/>
              <w:bottom w:val="single" w:sz="4" w:space="0" w:color="auto"/>
              <w:right w:val="single" w:sz="4" w:space="0" w:color="auto"/>
            </w:tcBorders>
            <w:noWrap/>
            <w:vAlign w:val="center"/>
          </w:tcPr>
          <w:p w14:paraId="59E6DFCD" w14:textId="5A045AC7" w:rsidR="00DD2510" w:rsidRPr="00247368" w:rsidRDefault="00152C02" w:rsidP="002B78A5">
            <w:pPr>
              <w:suppressAutoHyphens w:val="0"/>
              <w:jc w:val="center"/>
              <w:rPr>
                <w:sz w:val="18"/>
                <w:szCs w:val="18"/>
                <w:lang w:eastAsia="zh-CN"/>
              </w:rPr>
            </w:pPr>
            <w:r>
              <w:rPr>
                <w:sz w:val="18"/>
                <w:szCs w:val="18"/>
                <w:lang w:eastAsia="zh-CN"/>
              </w:rPr>
              <w:t>37</w:t>
            </w:r>
          </w:p>
        </w:tc>
        <w:tc>
          <w:tcPr>
            <w:tcW w:w="1315" w:type="dxa"/>
            <w:tcBorders>
              <w:top w:val="single" w:sz="8" w:space="0" w:color="auto"/>
              <w:left w:val="nil"/>
              <w:bottom w:val="single" w:sz="4" w:space="0" w:color="auto"/>
              <w:right w:val="single" w:sz="8" w:space="0" w:color="auto"/>
            </w:tcBorders>
            <w:shd w:val="clear" w:color="000000" w:fill="FFFFFF"/>
            <w:noWrap/>
            <w:vAlign w:val="center"/>
          </w:tcPr>
          <w:p w14:paraId="0924983D" w14:textId="5D412A15" w:rsidR="00DD2510" w:rsidRPr="00247368" w:rsidRDefault="00152C02" w:rsidP="002B78A5">
            <w:pPr>
              <w:suppressAutoHyphens w:val="0"/>
              <w:jc w:val="center"/>
              <w:rPr>
                <w:sz w:val="18"/>
                <w:szCs w:val="18"/>
                <w:lang w:eastAsia="zh-CN"/>
              </w:rPr>
            </w:pPr>
            <w:r>
              <w:rPr>
                <w:sz w:val="18"/>
                <w:szCs w:val="18"/>
                <w:lang w:eastAsia="zh-CN"/>
              </w:rPr>
              <w:t>3</w:t>
            </w:r>
          </w:p>
        </w:tc>
      </w:tr>
      <w:tr w:rsidR="00DD2510" w:rsidRPr="00247368" w14:paraId="5C6FE315" w14:textId="77777777">
        <w:trPr>
          <w:trHeight w:val="60"/>
        </w:trPr>
        <w:tc>
          <w:tcPr>
            <w:tcW w:w="2204" w:type="dxa"/>
            <w:vMerge/>
            <w:tcBorders>
              <w:top w:val="single" w:sz="8" w:space="0" w:color="auto"/>
              <w:left w:val="single" w:sz="8" w:space="0" w:color="auto"/>
              <w:bottom w:val="single" w:sz="8" w:space="0" w:color="000000"/>
              <w:right w:val="single" w:sz="8" w:space="0" w:color="auto"/>
            </w:tcBorders>
            <w:vAlign w:val="center"/>
          </w:tcPr>
          <w:p w14:paraId="4933FA6C" w14:textId="77777777" w:rsidR="00DD2510" w:rsidRPr="00247368" w:rsidRDefault="00DD2510" w:rsidP="002B78A5">
            <w:pPr>
              <w:suppressAutoHyphens w:val="0"/>
              <w:rPr>
                <w:b/>
                <w:bCs/>
                <w:sz w:val="18"/>
                <w:szCs w:val="18"/>
                <w:lang w:eastAsia="zh-CN"/>
              </w:rPr>
            </w:pPr>
          </w:p>
        </w:tc>
        <w:tc>
          <w:tcPr>
            <w:tcW w:w="3926" w:type="dxa"/>
            <w:tcBorders>
              <w:top w:val="nil"/>
              <w:left w:val="nil"/>
              <w:bottom w:val="single" w:sz="4" w:space="0" w:color="auto"/>
              <w:right w:val="single" w:sz="4" w:space="0" w:color="auto"/>
            </w:tcBorders>
            <w:vAlign w:val="center"/>
          </w:tcPr>
          <w:p w14:paraId="6A1ADE11" w14:textId="77777777" w:rsidR="00DD2510" w:rsidRPr="00247368" w:rsidRDefault="00DD2510" w:rsidP="002B78A5">
            <w:pPr>
              <w:suppressAutoHyphens w:val="0"/>
              <w:rPr>
                <w:sz w:val="18"/>
                <w:szCs w:val="18"/>
                <w:lang w:eastAsia="zh-CN"/>
              </w:rPr>
            </w:pPr>
            <w:r w:rsidRPr="00247368">
              <w:rPr>
                <w:sz w:val="18"/>
                <w:szCs w:val="18"/>
                <w:lang w:eastAsia="zh-CN"/>
              </w:rPr>
              <w:t>Wskaźnik rotacji zobowiązań (w dniach)</w:t>
            </w:r>
          </w:p>
        </w:tc>
        <w:tc>
          <w:tcPr>
            <w:tcW w:w="1818" w:type="dxa"/>
            <w:tcBorders>
              <w:top w:val="nil"/>
              <w:left w:val="nil"/>
              <w:bottom w:val="single" w:sz="8" w:space="0" w:color="auto"/>
              <w:right w:val="single" w:sz="4" w:space="0" w:color="auto"/>
            </w:tcBorders>
            <w:shd w:val="clear" w:color="000000" w:fill="FFFFFF"/>
            <w:vAlign w:val="center"/>
          </w:tcPr>
          <w:p w14:paraId="23C63467" w14:textId="77777777" w:rsidR="00DD2510" w:rsidRPr="00247368" w:rsidRDefault="00DD2510" w:rsidP="002B78A5">
            <w:pPr>
              <w:suppressAutoHyphens w:val="0"/>
              <w:jc w:val="center"/>
              <w:rPr>
                <w:sz w:val="18"/>
                <w:szCs w:val="18"/>
                <w:lang w:eastAsia="zh-CN"/>
              </w:rPr>
            </w:pPr>
            <w:r w:rsidRPr="00247368">
              <w:rPr>
                <w:sz w:val="18"/>
                <w:szCs w:val="18"/>
                <w:lang w:eastAsia="zh-CN"/>
              </w:rPr>
              <w:t>18</w:t>
            </w:r>
          </w:p>
        </w:tc>
        <w:tc>
          <w:tcPr>
            <w:tcW w:w="1315" w:type="dxa"/>
            <w:tcBorders>
              <w:top w:val="nil"/>
              <w:left w:val="nil"/>
              <w:bottom w:val="single" w:sz="8" w:space="0" w:color="auto"/>
              <w:right w:val="single" w:sz="8" w:space="0" w:color="auto"/>
            </w:tcBorders>
            <w:shd w:val="clear" w:color="000000" w:fill="FFFFFF"/>
            <w:vAlign w:val="center"/>
          </w:tcPr>
          <w:p w14:paraId="05D5216C" w14:textId="77777777" w:rsidR="00DD2510" w:rsidRPr="00247368" w:rsidRDefault="00DD2510" w:rsidP="002B78A5">
            <w:pPr>
              <w:suppressAutoHyphens w:val="0"/>
              <w:jc w:val="center"/>
              <w:rPr>
                <w:sz w:val="18"/>
                <w:szCs w:val="18"/>
                <w:lang w:eastAsia="zh-CN"/>
              </w:rPr>
            </w:pPr>
            <w:r w:rsidRPr="00247368">
              <w:rPr>
                <w:sz w:val="18"/>
                <w:szCs w:val="18"/>
                <w:lang w:eastAsia="zh-CN"/>
              </w:rPr>
              <w:t>7</w:t>
            </w:r>
          </w:p>
        </w:tc>
      </w:tr>
      <w:tr w:rsidR="00DD2510" w:rsidRPr="00247368" w14:paraId="26B207E4" w14:textId="77777777">
        <w:trPr>
          <w:trHeight w:val="215"/>
        </w:trPr>
        <w:tc>
          <w:tcPr>
            <w:tcW w:w="6131" w:type="dxa"/>
            <w:gridSpan w:val="2"/>
            <w:tcBorders>
              <w:top w:val="single" w:sz="8" w:space="0" w:color="auto"/>
              <w:left w:val="single" w:sz="4" w:space="0" w:color="auto"/>
              <w:bottom w:val="nil"/>
              <w:right w:val="single" w:sz="8" w:space="0" w:color="000000"/>
            </w:tcBorders>
            <w:shd w:val="clear" w:color="000000" w:fill="FFFFFF"/>
            <w:noWrap/>
            <w:vAlign w:val="center"/>
          </w:tcPr>
          <w:p w14:paraId="4B6774F8"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nil"/>
              <w:bottom w:val="single" w:sz="8" w:space="0" w:color="auto"/>
              <w:right w:val="single" w:sz="4" w:space="0" w:color="auto"/>
            </w:tcBorders>
            <w:shd w:val="clear" w:color="000000" w:fill="969696"/>
            <w:vAlign w:val="center"/>
          </w:tcPr>
          <w:p w14:paraId="5AFF2DDA" w14:textId="77777777" w:rsidR="00DD2510" w:rsidRPr="00247368" w:rsidRDefault="00DD2510" w:rsidP="002B78A5">
            <w:pPr>
              <w:suppressAutoHyphens w:val="0"/>
              <w:rPr>
                <w:b/>
                <w:bCs/>
                <w:sz w:val="18"/>
                <w:szCs w:val="18"/>
                <w:lang w:eastAsia="zh-CN"/>
              </w:rPr>
            </w:pPr>
            <w:r w:rsidRPr="00247368">
              <w:rPr>
                <w:b/>
                <w:bCs/>
                <w:sz w:val="18"/>
                <w:szCs w:val="18"/>
                <w:lang w:eastAsia="zh-CN"/>
              </w:rPr>
              <w:t>III. Razem</w:t>
            </w:r>
          </w:p>
        </w:tc>
        <w:tc>
          <w:tcPr>
            <w:tcW w:w="1315" w:type="dxa"/>
            <w:tcBorders>
              <w:top w:val="nil"/>
              <w:left w:val="single" w:sz="4" w:space="0" w:color="auto"/>
              <w:bottom w:val="single" w:sz="8" w:space="0" w:color="auto"/>
              <w:right w:val="single" w:sz="8" w:space="0" w:color="auto"/>
            </w:tcBorders>
            <w:shd w:val="clear" w:color="000000" w:fill="969696"/>
            <w:vAlign w:val="center"/>
          </w:tcPr>
          <w:p w14:paraId="0A8EE348"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10</w:t>
            </w:r>
          </w:p>
        </w:tc>
      </w:tr>
      <w:tr w:rsidR="00DD2510" w:rsidRPr="00247368" w14:paraId="768A71CE" w14:textId="77777777">
        <w:trPr>
          <w:trHeight w:val="131"/>
        </w:trPr>
        <w:tc>
          <w:tcPr>
            <w:tcW w:w="2204" w:type="dxa"/>
            <w:tcBorders>
              <w:top w:val="single" w:sz="4" w:space="0" w:color="auto"/>
              <w:left w:val="single" w:sz="4" w:space="0" w:color="auto"/>
              <w:bottom w:val="nil"/>
              <w:right w:val="nil"/>
            </w:tcBorders>
            <w:noWrap/>
            <w:vAlign w:val="bottom"/>
          </w:tcPr>
          <w:p w14:paraId="16E57B4A" w14:textId="77777777" w:rsidR="00DD2510" w:rsidRPr="00247368" w:rsidRDefault="00DD2510" w:rsidP="002B78A5">
            <w:pPr>
              <w:suppressAutoHyphens w:val="0"/>
              <w:rPr>
                <w:sz w:val="18"/>
                <w:szCs w:val="18"/>
                <w:lang w:eastAsia="zh-CN"/>
              </w:rPr>
            </w:pPr>
          </w:p>
        </w:tc>
        <w:tc>
          <w:tcPr>
            <w:tcW w:w="3926" w:type="dxa"/>
            <w:tcBorders>
              <w:top w:val="single" w:sz="4" w:space="0" w:color="auto"/>
              <w:left w:val="nil"/>
              <w:bottom w:val="nil"/>
              <w:right w:val="nil"/>
            </w:tcBorders>
            <w:noWrap/>
            <w:vAlign w:val="bottom"/>
          </w:tcPr>
          <w:p w14:paraId="7CB787F7" w14:textId="77777777" w:rsidR="00DD2510" w:rsidRPr="00247368" w:rsidRDefault="00DD2510" w:rsidP="002B78A5">
            <w:pPr>
              <w:suppressAutoHyphens w:val="0"/>
              <w:rPr>
                <w:sz w:val="18"/>
                <w:szCs w:val="18"/>
                <w:lang w:eastAsia="zh-CN"/>
              </w:rPr>
            </w:pPr>
          </w:p>
        </w:tc>
        <w:tc>
          <w:tcPr>
            <w:tcW w:w="1818" w:type="dxa"/>
            <w:tcBorders>
              <w:top w:val="single" w:sz="4" w:space="0" w:color="auto"/>
              <w:left w:val="nil"/>
              <w:bottom w:val="nil"/>
              <w:right w:val="nil"/>
            </w:tcBorders>
            <w:noWrap/>
            <w:vAlign w:val="center"/>
          </w:tcPr>
          <w:p w14:paraId="27E816E1" w14:textId="77777777" w:rsidR="00DD2510" w:rsidRPr="00247368" w:rsidRDefault="00DD2510" w:rsidP="002B78A5">
            <w:pPr>
              <w:suppressAutoHyphens w:val="0"/>
              <w:jc w:val="center"/>
              <w:rPr>
                <w:b/>
                <w:bCs/>
                <w:sz w:val="18"/>
                <w:szCs w:val="18"/>
                <w:lang w:eastAsia="zh-CN"/>
              </w:rPr>
            </w:pPr>
          </w:p>
        </w:tc>
        <w:tc>
          <w:tcPr>
            <w:tcW w:w="1315" w:type="dxa"/>
            <w:tcBorders>
              <w:top w:val="single" w:sz="4" w:space="0" w:color="auto"/>
              <w:left w:val="nil"/>
              <w:bottom w:val="nil"/>
              <w:right w:val="single" w:sz="4" w:space="0" w:color="auto"/>
            </w:tcBorders>
            <w:shd w:val="clear" w:color="000000" w:fill="FFFFFF"/>
            <w:noWrap/>
            <w:vAlign w:val="center"/>
          </w:tcPr>
          <w:p w14:paraId="0DC26ADE"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DD2510" w:rsidRPr="00247368" w14:paraId="0DF3D239" w14:textId="77777777">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383CDDA7"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IV. WSKAŹNIKI ZADŁUŻENIA</w:t>
            </w:r>
          </w:p>
        </w:tc>
        <w:tc>
          <w:tcPr>
            <w:tcW w:w="3926" w:type="dxa"/>
            <w:tcBorders>
              <w:top w:val="single" w:sz="8" w:space="0" w:color="auto"/>
              <w:left w:val="nil"/>
              <w:bottom w:val="single" w:sz="4" w:space="0" w:color="auto"/>
              <w:right w:val="nil"/>
            </w:tcBorders>
            <w:vAlign w:val="center"/>
          </w:tcPr>
          <w:p w14:paraId="12102637" w14:textId="77777777" w:rsidR="00DD2510" w:rsidRPr="00247368" w:rsidRDefault="00DD2510" w:rsidP="002B78A5">
            <w:pPr>
              <w:suppressAutoHyphens w:val="0"/>
              <w:rPr>
                <w:sz w:val="18"/>
                <w:szCs w:val="18"/>
                <w:lang w:eastAsia="zh-CN"/>
              </w:rPr>
            </w:pPr>
            <w:r w:rsidRPr="00247368">
              <w:rPr>
                <w:sz w:val="18"/>
                <w:szCs w:val="18"/>
                <w:lang w:eastAsia="zh-CN"/>
              </w:rPr>
              <w:t xml:space="preserve">Wskaźnik zadłużenia aktywów (%)                          </w:t>
            </w:r>
          </w:p>
        </w:tc>
        <w:tc>
          <w:tcPr>
            <w:tcW w:w="1818" w:type="dxa"/>
            <w:tcBorders>
              <w:top w:val="single" w:sz="8" w:space="0" w:color="auto"/>
              <w:left w:val="single" w:sz="8" w:space="0" w:color="auto"/>
              <w:bottom w:val="single" w:sz="4" w:space="0" w:color="auto"/>
              <w:right w:val="single" w:sz="4" w:space="0" w:color="auto"/>
            </w:tcBorders>
            <w:noWrap/>
            <w:vAlign w:val="center"/>
          </w:tcPr>
          <w:p w14:paraId="1096B798" w14:textId="7E3E78DC" w:rsidR="00DD2510" w:rsidRPr="00247368" w:rsidRDefault="00152C02" w:rsidP="002B78A5">
            <w:pPr>
              <w:suppressAutoHyphens w:val="0"/>
              <w:jc w:val="center"/>
              <w:rPr>
                <w:sz w:val="18"/>
                <w:szCs w:val="18"/>
                <w:lang w:eastAsia="zh-CN"/>
              </w:rPr>
            </w:pPr>
            <w:r>
              <w:rPr>
                <w:sz w:val="18"/>
                <w:szCs w:val="18"/>
                <w:lang w:eastAsia="zh-CN"/>
              </w:rPr>
              <w:t>6</w:t>
            </w:r>
            <w:r w:rsidR="00DD2510" w:rsidRPr="00247368">
              <w:rPr>
                <w:sz w:val="18"/>
                <w:szCs w:val="18"/>
                <w:lang w:eastAsia="zh-CN"/>
              </w:rPr>
              <w:t>2%</w:t>
            </w:r>
          </w:p>
        </w:tc>
        <w:tc>
          <w:tcPr>
            <w:tcW w:w="1315" w:type="dxa"/>
            <w:tcBorders>
              <w:top w:val="single" w:sz="8" w:space="0" w:color="auto"/>
              <w:left w:val="nil"/>
              <w:bottom w:val="single" w:sz="4" w:space="0" w:color="auto"/>
              <w:right w:val="single" w:sz="8" w:space="0" w:color="auto"/>
            </w:tcBorders>
            <w:shd w:val="clear" w:color="000000" w:fill="FFFFFF"/>
            <w:noWrap/>
            <w:vAlign w:val="center"/>
          </w:tcPr>
          <w:p w14:paraId="010DEAC2" w14:textId="12F3F07B" w:rsidR="00DD2510" w:rsidRPr="00247368" w:rsidRDefault="00152C02" w:rsidP="002B78A5">
            <w:pPr>
              <w:suppressAutoHyphens w:val="0"/>
              <w:jc w:val="center"/>
              <w:rPr>
                <w:sz w:val="18"/>
                <w:szCs w:val="18"/>
                <w:lang w:eastAsia="zh-CN"/>
              </w:rPr>
            </w:pPr>
            <w:r>
              <w:rPr>
                <w:sz w:val="18"/>
                <w:szCs w:val="18"/>
                <w:lang w:eastAsia="zh-CN"/>
              </w:rPr>
              <w:t>3</w:t>
            </w:r>
          </w:p>
        </w:tc>
      </w:tr>
      <w:tr w:rsidR="00DD2510" w:rsidRPr="00247368" w14:paraId="6C93F241" w14:textId="77777777">
        <w:trPr>
          <w:trHeight w:val="335"/>
        </w:trPr>
        <w:tc>
          <w:tcPr>
            <w:tcW w:w="2204" w:type="dxa"/>
            <w:vMerge/>
            <w:tcBorders>
              <w:top w:val="single" w:sz="8" w:space="0" w:color="auto"/>
              <w:left w:val="single" w:sz="8" w:space="0" w:color="auto"/>
              <w:bottom w:val="single" w:sz="8" w:space="0" w:color="000000"/>
              <w:right w:val="single" w:sz="8" w:space="0" w:color="auto"/>
            </w:tcBorders>
            <w:vAlign w:val="center"/>
          </w:tcPr>
          <w:p w14:paraId="5DD47B98" w14:textId="77777777" w:rsidR="00DD2510" w:rsidRPr="00247368" w:rsidRDefault="00DD2510" w:rsidP="002B78A5">
            <w:pPr>
              <w:suppressAutoHyphens w:val="0"/>
              <w:rPr>
                <w:b/>
                <w:bCs/>
                <w:sz w:val="18"/>
                <w:szCs w:val="18"/>
                <w:lang w:eastAsia="zh-CN"/>
              </w:rPr>
            </w:pPr>
          </w:p>
        </w:tc>
        <w:tc>
          <w:tcPr>
            <w:tcW w:w="3926" w:type="dxa"/>
            <w:tcBorders>
              <w:top w:val="nil"/>
              <w:left w:val="nil"/>
              <w:bottom w:val="single" w:sz="4" w:space="0" w:color="auto"/>
              <w:right w:val="nil"/>
            </w:tcBorders>
            <w:vAlign w:val="center"/>
          </w:tcPr>
          <w:p w14:paraId="3B9665FA" w14:textId="77777777" w:rsidR="00DD2510" w:rsidRPr="00247368" w:rsidRDefault="00DD2510" w:rsidP="002B78A5">
            <w:pPr>
              <w:suppressAutoHyphens w:val="0"/>
              <w:rPr>
                <w:sz w:val="18"/>
                <w:szCs w:val="18"/>
                <w:lang w:eastAsia="zh-CN"/>
              </w:rPr>
            </w:pPr>
            <w:r w:rsidRPr="00247368">
              <w:rPr>
                <w:sz w:val="18"/>
                <w:szCs w:val="18"/>
                <w:lang w:eastAsia="zh-CN"/>
              </w:rPr>
              <w:t>Wskaźnik wypłacalności</w:t>
            </w:r>
          </w:p>
        </w:tc>
        <w:tc>
          <w:tcPr>
            <w:tcW w:w="1818" w:type="dxa"/>
            <w:tcBorders>
              <w:top w:val="nil"/>
              <w:left w:val="single" w:sz="8" w:space="0" w:color="auto"/>
              <w:bottom w:val="single" w:sz="8" w:space="0" w:color="auto"/>
              <w:right w:val="single" w:sz="4" w:space="0" w:color="auto"/>
            </w:tcBorders>
            <w:shd w:val="clear" w:color="000000" w:fill="FFFFFF"/>
            <w:vAlign w:val="center"/>
          </w:tcPr>
          <w:p w14:paraId="13D2EB42" w14:textId="386D6A08" w:rsidR="00DD2510" w:rsidRPr="00247368" w:rsidRDefault="00152C02" w:rsidP="002B78A5">
            <w:pPr>
              <w:suppressAutoHyphens w:val="0"/>
              <w:jc w:val="center"/>
              <w:rPr>
                <w:sz w:val="18"/>
                <w:szCs w:val="18"/>
                <w:lang w:eastAsia="zh-CN"/>
              </w:rPr>
            </w:pPr>
            <w:r>
              <w:rPr>
                <w:sz w:val="18"/>
                <w:szCs w:val="18"/>
                <w:lang w:eastAsia="zh-CN"/>
              </w:rPr>
              <w:t>-1,74</w:t>
            </w:r>
          </w:p>
        </w:tc>
        <w:tc>
          <w:tcPr>
            <w:tcW w:w="1315" w:type="dxa"/>
            <w:tcBorders>
              <w:top w:val="nil"/>
              <w:left w:val="nil"/>
              <w:bottom w:val="single" w:sz="8" w:space="0" w:color="auto"/>
              <w:right w:val="single" w:sz="8" w:space="0" w:color="auto"/>
            </w:tcBorders>
            <w:shd w:val="clear" w:color="000000" w:fill="FFFFFF"/>
            <w:vAlign w:val="center"/>
          </w:tcPr>
          <w:p w14:paraId="1D9808BD" w14:textId="77777777" w:rsidR="00DD2510" w:rsidRPr="00247368" w:rsidRDefault="00DD2510" w:rsidP="002B78A5">
            <w:pPr>
              <w:suppressAutoHyphens w:val="0"/>
              <w:jc w:val="center"/>
              <w:rPr>
                <w:sz w:val="18"/>
                <w:szCs w:val="18"/>
                <w:lang w:eastAsia="zh-CN"/>
              </w:rPr>
            </w:pPr>
            <w:r w:rsidRPr="00247368">
              <w:rPr>
                <w:sz w:val="18"/>
                <w:szCs w:val="18"/>
                <w:lang w:eastAsia="zh-CN"/>
              </w:rPr>
              <w:t>0</w:t>
            </w:r>
          </w:p>
        </w:tc>
      </w:tr>
      <w:tr w:rsidR="00DD2510" w:rsidRPr="00247368" w14:paraId="429E9476" w14:textId="77777777">
        <w:trPr>
          <w:trHeight w:val="215"/>
        </w:trPr>
        <w:tc>
          <w:tcPr>
            <w:tcW w:w="6131" w:type="dxa"/>
            <w:gridSpan w:val="2"/>
            <w:tcBorders>
              <w:top w:val="single" w:sz="8" w:space="0" w:color="auto"/>
              <w:left w:val="single" w:sz="4" w:space="0" w:color="auto"/>
              <w:bottom w:val="nil"/>
              <w:right w:val="single" w:sz="8" w:space="0" w:color="000000"/>
            </w:tcBorders>
            <w:shd w:val="clear" w:color="000000" w:fill="FFFFFF"/>
            <w:noWrap/>
            <w:vAlign w:val="center"/>
          </w:tcPr>
          <w:p w14:paraId="02C19F47"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nil"/>
              <w:bottom w:val="single" w:sz="8" w:space="0" w:color="auto"/>
              <w:right w:val="single" w:sz="4" w:space="0" w:color="auto"/>
            </w:tcBorders>
            <w:shd w:val="clear" w:color="000000" w:fill="969696"/>
            <w:vAlign w:val="center"/>
          </w:tcPr>
          <w:p w14:paraId="59081D6A" w14:textId="77777777" w:rsidR="00DD2510" w:rsidRPr="00247368" w:rsidRDefault="00DD2510" w:rsidP="002B78A5">
            <w:pPr>
              <w:suppressAutoHyphens w:val="0"/>
              <w:rPr>
                <w:b/>
                <w:bCs/>
                <w:sz w:val="18"/>
                <w:szCs w:val="18"/>
                <w:lang w:eastAsia="zh-CN"/>
              </w:rPr>
            </w:pPr>
            <w:r w:rsidRPr="00247368">
              <w:rPr>
                <w:b/>
                <w:bCs/>
                <w:sz w:val="18"/>
                <w:szCs w:val="18"/>
                <w:lang w:eastAsia="zh-CN"/>
              </w:rPr>
              <w:t>IV. Razem</w:t>
            </w:r>
          </w:p>
        </w:tc>
        <w:tc>
          <w:tcPr>
            <w:tcW w:w="1315" w:type="dxa"/>
            <w:tcBorders>
              <w:top w:val="nil"/>
              <w:left w:val="single" w:sz="4" w:space="0" w:color="auto"/>
              <w:bottom w:val="single" w:sz="8" w:space="0" w:color="auto"/>
              <w:right w:val="single" w:sz="8" w:space="0" w:color="auto"/>
            </w:tcBorders>
            <w:shd w:val="clear" w:color="000000" w:fill="969696"/>
            <w:vAlign w:val="center"/>
          </w:tcPr>
          <w:p w14:paraId="275D5550" w14:textId="2F8F4E90" w:rsidR="00DD2510" w:rsidRPr="00247368" w:rsidRDefault="00152C02" w:rsidP="002B78A5">
            <w:pPr>
              <w:suppressAutoHyphens w:val="0"/>
              <w:jc w:val="center"/>
              <w:rPr>
                <w:b/>
                <w:bCs/>
                <w:sz w:val="18"/>
                <w:szCs w:val="18"/>
                <w:lang w:eastAsia="zh-CN"/>
              </w:rPr>
            </w:pPr>
            <w:r>
              <w:rPr>
                <w:b/>
                <w:bCs/>
                <w:sz w:val="18"/>
                <w:szCs w:val="18"/>
                <w:lang w:eastAsia="zh-CN"/>
              </w:rPr>
              <w:t>3</w:t>
            </w:r>
          </w:p>
        </w:tc>
      </w:tr>
      <w:tr w:rsidR="00DD2510" w:rsidRPr="00247368" w14:paraId="7A6A3B43" w14:textId="77777777">
        <w:trPr>
          <w:trHeight w:val="131"/>
        </w:trPr>
        <w:tc>
          <w:tcPr>
            <w:tcW w:w="2204" w:type="dxa"/>
            <w:tcBorders>
              <w:top w:val="nil"/>
              <w:left w:val="single" w:sz="4" w:space="0" w:color="auto"/>
              <w:bottom w:val="nil"/>
              <w:right w:val="nil"/>
            </w:tcBorders>
            <w:noWrap/>
            <w:vAlign w:val="bottom"/>
          </w:tcPr>
          <w:p w14:paraId="58B247C2" w14:textId="77777777" w:rsidR="00DD2510" w:rsidRPr="00247368" w:rsidRDefault="00DD2510" w:rsidP="002B78A5">
            <w:pPr>
              <w:suppressAutoHyphens w:val="0"/>
              <w:rPr>
                <w:sz w:val="18"/>
                <w:szCs w:val="18"/>
                <w:lang w:eastAsia="zh-CN"/>
              </w:rPr>
            </w:pPr>
          </w:p>
        </w:tc>
        <w:tc>
          <w:tcPr>
            <w:tcW w:w="3926" w:type="dxa"/>
            <w:tcBorders>
              <w:top w:val="nil"/>
              <w:left w:val="nil"/>
              <w:bottom w:val="nil"/>
              <w:right w:val="nil"/>
            </w:tcBorders>
            <w:noWrap/>
            <w:vAlign w:val="bottom"/>
          </w:tcPr>
          <w:p w14:paraId="4A77D5F6" w14:textId="77777777" w:rsidR="00DD2510" w:rsidRPr="00247368" w:rsidRDefault="00DD2510" w:rsidP="002B78A5">
            <w:pPr>
              <w:suppressAutoHyphens w:val="0"/>
              <w:rPr>
                <w:sz w:val="18"/>
                <w:szCs w:val="18"/>
                <w:lang w:eastAsia="zh-CN"/>
              </w:rPr>
            </w:pPr>
          </w:p>
        </w:tc>
        <w:tc>
          <w:tcPr>
            <w:tcW w:w="1818" w:type="dxa"/>
            <w:tcBorders>
              <w:top w:val="nil"/>
              <w:left w:val="nil"/>
              <w:bottom w:val="nil"/>
              <w:right w:val="nil"/>
            </w:tcBorders>
            <w:noWrap/>
            <w:vAlign w:val="center"/>
          </w:tcPr>
          <w:p w14:paraId="72581B33" w14:textId="77777777" w:rsidR="00DD2510" w:rsidRPr="00247368" w:rsidRDefault="00DD2510" w:rsidP="002B78A5">
            <w:pPr>
              <w:suppressAutoHyphens w:val="0"/>
              <w:jc w:val="center"/>
              <w:rPr>
                <w:b/>
                <w:bCs/>
                <w:sz w:val="18"/>
                <w:szCs w:val="18"/>
                <w:lang w:eastAsia="zh-CN"/>
              </w:rPr>
            </w:pPr>
          </w:p>
        </w:tc>
        <w:tc>
          <w:tcPr>
            <w:tcW w:w="1315" w:type="dxa"/>
            <w:tcBorders>
              <w:top w:val="nil"/>
              <w:left w:val="nil"/>
              <w:bottom w:val="nil"/>
              <w:right w:val="single" w:sz="4" w:space="0" w:color="auto"/>
            </w:tcBorders>
            <w:shd w:val="clear" w:color="000000" w:fill="FFFFFF"/>
            <w:noWrap/>
            <w:vAlign w:val="center"/>
          </w:tcPr>
          <w:p w14:paraId="391875C1"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DD2510" w:rsidRPr="00247368" w14:paraId="2A501E7A" w14:textId="77777777">
        <w:trPr>
          <w:trHeight w:val="363"/>
        </w:trPr>
        <w:tc>
          <w:tcPr>
            <w:tcW w:w="7949" w:type="dxa"/>
            <w:gridSpan w:val="3"/>
            <w:vMerge w:val="restart"/>
            <w:tcBorders>
              <w:top w:val="single" w:sz="8" w:space="0" w:color="auto"/>
              <w:left w:val="single" w:sz="8" w:space="0" w:color="auto"/>
              <w:bottom w:val="single" w:sz="8" w:space="0" w:color="000000"/>
              <w:right w:val="single" w:sz="4" w:space="0" w:color="000000"/>
            </w:tcBorders>
            <w:shd w:val="clear" w:color="000000" w:fill="FFCC00"/>
            <w:noWrap/>
            <w:vAlign w:val="center"/>
          </w:tcPr>
          <w:p w14:paraId="5870647C"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Łączna wartość punktów</w:t>
            </w:r>
          </w:p>
        </w:tc>
        <w:tc>
          <w:tcPr>
            <w:tcW w:w="1315" w:type="dxa"/>
            <w:vMerge w:val="restart"/>
            <w:tcBorders>
              <w:top w:val="single" w:sz="8" w:space="0" w:color="auto"/>
              <w:left w:val="nil"/>
              <w:bottom w:val="single" w:sz="8" w:space="0" w:color="000000"/>
              <w:right w:val="single" w:sz="8" w:space="0" w:color="auto"/>
            </w:tcBorders>
            <w:shd w:val="clear" w:color="000000" w:fill="FFCC00"/>
            <w:vAlign w:val="center"/>
          </w:tcPr>
          <w:p w14:paraId="6ACBDFA8" w14:textId="5FFFE63A" w:rsidR="00DD2510" w:rsidRPr="00247368" w:rsidRDefault="00152C02" w:rsidP="002B78A5">
            <w:pPr>
              <w:suppressAutoHyphens w:val="0"/>
              <w:jc w:val="center"/>
              <w:rPr>
                <w:b/>
                <w:bCs/>
                <w:sz w:val="18"/>
                <w:szCs w:val="18"/>
                <w:lang w:eastAsia="zh-CN"/>
              </w:rPr>
            </w:pPr>
            <w:r>
              <w:rPr>
                <w:b/>
                <w:bCs/>
                <w:sz w:val="18"/>
                <w:szCs w:val="18"/>
                <w:lang w:eastAsia="zh-CN"/>
              </w:rPr>
              <w:t>13</w:t>
            </w:r>
          </w:p>
        </w:tc>
      </w:tr>
      <w:tr w:rsidR="00DD2510" w:rsidRPr="00247368" w14:paraId="2FC7A080" w14:textId="77777777">
        <w:trPr>
          <w:trHeight w:val="363"/>
        </w:trPr>
        <w:tc>
          <w:tcPr>
            <w:tcW w:w="7949" w:type="dxa"/>
            <w:gridSpan w:val="3"/>
            <w:vMerge/>
            <w:tcBorders>
              <w:top w:val="single" w:sz="8" w:space="0" w:color="auto"/>
              <w:left w:val="single" w:sz="8" w:space="0" w:color="auto"/>
              <w:bottom w:val="single" w:sz="8" w:space="0" w:color="000000"/>
              <w:right w:val="single" w:sz="4" w:space="0" w:color="000000"/>
            </w:tcBorders>
            <w:vAlign w:val="center"/>
          </w:tcPr>
          <w:p w14:paraId="5EADFE44" w14:textId="77777777" w:rsidR="00DD2510" w:rsidRPr="00247368" w:rsidRDefault="00DD2510" w:rsidP="002B78A5">
            <w:pPr>
              <w:suppressAutoHyphens w:val="0"/>
              <w:rPr>
                <w:b/>
                <w:bCs/>
                <w:sz w:val="18"/>
                <w:szCs w:val="18"/>
                <w:lang w:eastAsia="zh-CN"/>
              </w:rPr>
            </w:pPr>
          </w:p>
        </w:tc>
        <w:tc>
          <w:tcPr>
            <w:tcW w:w="1315" w:type="dxa"/>
            <w:vMerge/>
            <w:tcBorders>
              <w:top w:val="single" w:sz="8" w:space="0" w:color="auto"/>
              <w:left w:val="nil"/>
              <w:bottom w:val="single" w:sz="8" w:space="0" w:color="000000"/>
              <w:right w:val="single" w:sz="8" w:space="0" w:color="auto"/>
            </w:tcBorders>
            <w:vAlign w:val="center"/>
          </w:tcPr>
          <w:p w14:paraId="54006FA3" w14:textId="77777777" w:rsidR="00DD2510" w:rsidRPr="00247368" w:rsidRDefault="00DD2510" w:rsidP="002B78A5">
            <w:pPr>
              <w:suppressAutoHyphens w:val="0"/>
              <w:rPr>
                <w:b/>
                <w:bCs/>
                <w:sz w:val="18"/>
                <w:szCs w:val="18"/>
                <w:lang w:eastAsia="zh-CN"/>
              </w:rPr>
            </w:pPr>
          </w:p>
        </w:tc>
      </w:tr>
      <w:bookmarkEnd w:id="9"/>
      <w:bookmarkEnd w:id="10"/>
      <w:bookmarkEnd w:id="11"/>
      <w:bookmarkEnd w:id="12"/>
      <w:bookmarkEnd w:id="13"/>
      <w:bookmarkEnd w:id="14"/>
    </w:tbl>
    <w:p w14:paraId="186511A3" w14:textId="77777777" w:rsidR="00DD2510" w:rsidRDefault="00DD2510" w:rsidP="000F06BE"/>
    <w:p w14:paraId="78626A76" w14:textId="659E85AF" w:rsidR="00DD2510" w:rsidRDefault="00DD2510" w:rsidP="000F06BE">
      <w:pPr>
        <w:pStyle w:val="Nagwek3"/>
        <w:framePr w:wrap="auto"/>
      </w:pPr>
      <w:bookmarkStart w:id="15" w:name="_Toc132708831"/>
      <w:r w:rsidRPr="00402325">
        <w:t xml:space="preserve">Podsumowanie  analizy  sytuacji </w:t>
      </w:r>
      <w:proofErr w:type="spellStart"/>
      <w:r w:rsidR="00EF234F" w:rsidRPr="00402325">
        <w:t>ekonomiczn</w:t>
      </w:r>
      <w:r w:rsidR="00EF234F">
        <w:t>o</w:t>
      </w:r>
      <w:proofErr w:type="spellEnd"/>
      <w:r w:rsidR="00EF234F">
        <w:t xml:space="preserve"> </w:t>
      </w:r>
      <w:r w:rsidRPr="00402325">
        <w:t>– finansowej podmiotu leczniczego  za  202</w:t>
      </w:r>
      <w:r w:rsidR="00C4285B">
        <w:t>2</w:t>
      </w:r>
      <w:r>
        <w:t xml:space="preserve"> r.</w:t>
      </w:r>
      <w:bookmarkEnd w:id="15"/>
    </w:p>
    <w:p w14:paraId="5C8DD29B" w14:textId="77777777" w:rsidR="00E11A57" w:rsidRPr="00E11A57" w:rsidRDefault="00DD2510" w:rsidP="00AA2832">
      <w:pPr>
        <w:suppressAutoHyphens w:val="0"/>
        <w:spacing w:line="360" w:lineRule="atLeast"/>
        <w:ind w:firstLine="709"/>
        <w:jc w:val="both"/>
      </w:pPr>
      <w:r w:rsidRPr="00E11A57">
        <w:t>W wyniku analizy wskaźników sporządzonej na podstawie sprawozdania finansowego za 202</w:t>
      </w:r>
      <w:r w:rsidR="00C4285B" w:rsidRPr="00E11A57">
        <w:t>2</w:t>
      </w:r>
      <w:r w:rsidRPr="00E11A57">
        <w:t xml:space="preserve"> r. przy zastosowaniu metody punktowej uzyskano </w:t>
      </w:r>
      <w:r w:rsidR="00C4285B" w:rsidRPr="00E11A57">
        <w:t>13</w:t>
      </w:r>
      <w:r w:rsidRPr="00E11A57">
        <w:t xml:space="preserve"> punktów, co stanowi  </w:t>
      </w:r>
      <w:r w:rsidR="00C4285B" w:rsidRPr="00E11A57">
        <w:t>18,57</w:t>
      </w:r>
      <w:r w:rsidRPr="00E11A57">
        <w:t xml:space="preserve">% maksymalnej liczby punktów możliwej do uzyskania. Świadczy to o </w:t>
      </w:r>
      <w:r w:rsidR="00C4285B" w:rsidRPr="00E11A57">
        <w:t>pogorszeniu</w:t>
      </w:r>
      <w:r w:rsidRPr="00E11A57">
        <w:t xml:space="preserve"> stabilności ekonomiczno-finansowej  naszej  Jednostki  w stosunku do roku poprzedniego o 1</w:t>
      </w:r>
      <w:r w:rsidR="00CA11A4" w:rsidRPr="00E11A57">
        <w:t>8</w:t>
      </w:r>
      <w:r w:rsidRPr="00E11A57">
        <w:t xml:space="preserve"> punktów.</w:t>
      </w:r>
    </w:p>
    <w:p w14:paraId="33D867DE" w14:textId="10B36E56" w:rsidR="00AA2832" w:rsidRPr="00AA2832" w:rsidRDefault="00E11A57" w:rsidP="00AA2832">
      <w:pPr>
        <w:suppressAutoHyphens w:val="0"/>
        <w:spacing w:line="360" w:lineRule="atLeast"/>
        <w:jc w:val="both"/>
        <w:rPr>
          <w:sz w:val="22"/>
          <w:szCs w:val="22"/>
        </w:rPr>
      </w:pPr>
      <w:r w:rsidRPr="00E11A57">
        <w:t xml:space="preserve">Na pogorszenie stabilności ekonomiczno-finansowej miało wpływ przede wszystkim </w:t>
      </w:r>
      <w:r w:rsidR="00AA2832" w:rsidRPr="00E11A57">
        <w:t>wzrost kosztów wynagrodzeń i ubezpieczeń społecznych, wynikających z realizacji Ustawy z dnia 08 czerwca 2017r. o sposobie ustalania najniższego wynagrodzenia zasadniczego niektórych pracowników zatrudnionych w podmiotach leczniczych (</w:t>
      </w:r>
      <w:proofErr w:type="spellStart"/>
      <w:r w:rsidR="00AA2832" w:rsidRPr="00E11A57">
        <w:t>t.j</w:t>
      </w:r>
      <w:proofErr w:type="spellEnd"/>
      <w:r w:rsidR="00AA2832" w:rsidRPr="00E11A57">
        <w:t>. Dz. U. z 2021r. poz. 1801 ze zm.) znowelizowanej na podstawie Ustawy z dnia 26 maja 2022r. o zmianie ustawy  o sposobie ustalania najniższego wynagrodzenia zasadniczego niektórych pracowników zatrudnionych w podmiotach leczniczych oraz niektórych innych ustaw (Dz. U. z 2022r. poz. 1322)</w:t>
      </w:r>
      <w:r w:rsidR="00AA2832">
        <w:t>.</w:t>
      </w:r>
      <w:r w:rsidR="00AA2832" w:rsidRPr="00E11A57">
        <w:t xml:space="preserve"> </w:t>
      </w:r>
      <w:r w:rsidR="00AA2832">
        <w:t xml:space="preserve">Jednostka </w:t>
      </w:r>
      <w:r w:rsidR="00AA2832">
        <w:lastRenderedPageBreak/>
        <w:t>nie otrzymała wystarczających środków na pokrycie wynagrodzeń w związku z ustawą podwyżkową</w:t>
      </w:r>
      <w:r w:rsidR="00D47C07">
        <w:t xml:space="preserve"> w wysokości około 390 tys. zł (tj. 3,2% brakującej kwoty podwyżki na wynagrodzenia), </w:t>
      </w:r>
      <w:r w:rsidR="00AA2832">
        <w:t>oraz na pokrycie</w:t>
      </w:r>
      <w:r w:rsidR="00AA2832" w:rsidRPr="00E11A57">
        <w:t xml:space="preserve"> wzrost</w:t>
      </w:r>
      <w:r w:rsidR="00AA2832">
        <w:t>u</w:t>
      </w:r>
      <w:r w:rsidR="00AA2832" w:rsidRPr="00E11A57">
        <w:t xml:space="preserve"> cen towarów i usług</w:t>
      </w:r>
      <w:r w:rsidR="007D1C5C">
        <w:t xml:space="preserve">, co spowodowała niemożliwość realizacji terminowych zobowiązań wobec dostawców. </w:t>
      </w:r>
      <w:r w:rsidR="00AA2832" w:rsidRPr="00AA2832">
        <w:rPr>
          <w:sz w:val="22"/>
          <w:szCs w:val="22"/>
        </w:rPr>
        <w:t>W związku z powyższym</w:t>
      </w:r>
      <w:r w:rsidR="00AA2832">
        <w:rPr>
          <w:b/>
          <w:bCs/>
          <w:sz w:val="22"/>
          <w:szCs w:val="22"/>
        </w:rPr>
        <w:t xml:space="preserve"> </w:t>
      </w:r>
      <w:r w:rsidR="00AA2832">
        <w:rPr>
          <w:sz w:val="22"/>
          <w:szCs w:val="22"/>
        </w:rPr>
        <w:t xml:space="preserve">Szpital </w:t>
      </w:r>
      <w:r w:rsidR="00AA2832" w:rsidRPr="00AA2832">
        <w:rPr>
          <w:sz w:val="22"/>
          <w:szCs w:val="22"/>
        </w:rPr>
        <w:t xml:space="preserve">wzywał </w:t>
      </w:r>
      <w:r w:rsidR="00AA2832" w:rsidRPr="004429CA">
        <w:rPr>
          <w:sz w:val="22"/>
          <w:szCs w:val="22"/>
        </w:rPr>
        <w:t>Śląski Oddział Wojewódzki Narodowego Funduszu Zdrowia w Katowicach</w:t>
      </w:r>
      <w:r w:rsidR="00AA2832">
        <w:rPr>
          <w:sz w:val="22"/>
          <w:szCs w:val="22"/>
        </w:rPr>
        <w:t xml:space="preserve"> </w:t>
      </w:r>
      <w:r w:rsidR="00AA2832" w:rsidRPr="004429CA">
        <w:rPr>
          <w:sz w:val="22"/>
          <w:szCs w:val="22"/>
        </w:rPr>
        <w:t>do zapłaty kwoty różnicy pomiędzy środkami przyznanymi na ten cel w ramach zmiany sposobu finansowania świadczeń zdrowotnych, określonych w Planach rzeczowo-finansowych</w:t>
      </w:r>
      <w:r w:rsidR="00AA2832">
        <w:rPr>
          <w:sz w:val="22"/>
          <w:szCs w:val="22"/>
        </w:rPr>
        <w:t xml:space="preserve">. Niestety </w:t>
      </w:r>
      <w:r w:rsidR="00AA2832" w:rsidRPr="00AA2832">
        <w:rPr>
          <w:sz w:val="22"/>
          <w:szCs w:val="22"/>
        </w:rPr>
        <w:t>Jednostka otrzymała negatywną odpowiedz z NFZ w/w spra</w:t>
      </w:r>
      <w:r w:rsidR="007D1C5C">
        <w:rPr>
          <w:sz w:val="22"/>
          <w:szCs w:val="22"/>
        </w:rPr>
        <w:t>wie.</w:t>
      </w:r>
    </w:p>
    <w:p w14:paraId="0CFB5F6C" w14:textId="08661CE6" w:rsidR="00AA2832" w:rsidRPr="00C11AA6" w:rsidRDefault="00AA2832" w:rsidP="00AA2832">
      <w:pPr>
        <w:spacing w:line="360" w:lineRule="atLeast"/>
        <w:jc w:val="both"/>
      </w:pPr>
      <w:r w:rsidRPr="00E11A57">
        <w:t>Na pogorszenie stabilności ekonomiczno-finansowej miało wpływ</w:t>
      </w:r>
      <w:r>
        <w:t xml:space="preserve"> również</w:t>
      </w:r>
      <w:r w:rsidRPr="00E11A57">
        <w:t xml:space="preserve"> </w:t>
      </w:r>
      <w:r w:rsidR="00E11A57" w:rsidRPr="00AA2832">
        <w:t>utworzenie rezerw na odprawy emerytalne i nagrody jubileuszowe w kwocie 1 294 735,00, które zostały zaprezentowane w rachunku zysków i strat jako „Zmiana stanu produktów”</w:t>
      </w:r>
      <w:r>
        <w:t xml:space="preserve"> oraz wzrost inflacji, który za 2022 r. wyniósł 14,0</w:t>
      </w:r>
      <w:r w:rsidR="007D1C5C">
        <w:t>4</w:t>
      </w:r>
      <w:r>
        <w:t>%.</w:t>
      </w:r>
    </w:p>
    <w:p w14:paraId="440D1003" w14:textId="77777777" w:rsidR="00DD2510" w:rsidRPr="00402325" w:rsidRDefault="00DD2510" w:rsidP="007D1C5C">
      <w:pPr>
        <w:spacing w:line="360" w:lineRule="atLeast"/>
        <w:ind w:firstLine="431"/>
        <w:jc w:val="both"/>
        <w:rPr>
          <w:kern w:val="1"/>
        </w:rPr>
      </w:pPr>
      <w:r w:rsidRPr="00402325">
        <w:rPr>
          <w:kern w:val="1"/>
        </w:rPr>
        <w:t xml:space="preserve">Analiza przypisanych punktów pomiędzy poszczególne grupy wskaźników ekonomicznych odzwierciedla ich znaczenie w ocenie ekonomiczno-finansowej </w:t>
      </w:r>
      <w:r w:rsidRPr="00006FA5">
        <w:rPr>
          <w:kern w:val="1"/>
        </w:rPr>
        <w:t xml:space="preserve">naszego Szpitala. </w:t>
      </w:r>
      <w:r w:rsidRPr="00402325">
        <w:rPr>
          <w:kern w:val="1"/>
        </w:rPr>
        <w:t>Nasza Jednostka, podobnie jak inne Samodzielne Zakłady Opieki Zdrowotnej zgodnie z ustawą o działalności leczniczej, nie jest nastawiona na osiąganie zysku.</w:t>
      </w:r>
    </w:p>
    <w:p w14:paraId="4EFD443D" w14:textId="77777777" w:rsidR="00DD2510" w:rsidRDefault="00DD2510" w:rsidP="002B78A5"/>
    <w:p w14:paraId="652FA8C8" w14:textId="377A95CB" w:rsidR="00DD2510" w:rsidRPr="0054324B" w:rsidRDefault="00DD2510" w:rsidP="002B78A5">
      <w:pPr>
        <w:pStyle w:val="Nagwek1"/>
        <w:framePr w:wrap="auto"/>
        <w:rPr>
          <w:rStyle w:val="Pogrubienie"/>
        </w:rPr>
      </w:pPr>
      <w:bookmarkStart w:id="16" w:name="_Toc132708832"/>
      <w:r w:rsidRPr="0054324B">
        <w:rPr>
          <w:rStyle w:val="Pogrubienie"/>
        </w:rPr>
        <w:t>PROGNOZA SYTUACJI EKONOMICZNO-FINANSOWEJ NA KOLEJNE TRZY LATA OBROTOWE ( 202</w:t>
      </w:r>
      <w:r w:rsidR="00E25F24">
        <w:rPr>
          <w:rStyle w:val="Pogrubienie"/>
        </w:rPr>
        <w:t>3</w:t>
      </w:r>
      <w:r w:rsidRPr="0054324B">
        <w:rPr>
          <w:rStyle w:val="Pogrubienie"/>
        </w:rPr>
        <w:t>,</w:t>
      </w:r>
      <w:r>
        <w:rPr>
          <w:rStyle w:val="Pogrubienie"/>
        </w:rPr>
        <w:t xml:space="preserve"> </w:t>
      </w:r>
      <w:r w:rsidRPr="0054324B">
        <w:rPr>
          <w:rStyle w:val="Pogrubienie"/>
        </w:rPr>
        <w:t>202</w:t>
      </w:r>
      <w:r w:rsidR="00E25F24">
        <w:rPr>
          <w:rStyle w:val="Pogrubienie"/>
        </w:rPr>
        <w:t>4</w:t>
      </w:r>
      <w:r w:rsidRPr="0054324B">
        <w:rPr>
          <w:rStyle w:val="Pogrubienie"/>
        </w:rPr>
        <w:t>,</w:t>
      </w:r>
      <w:r>
        <w:rPr>
          <w:rStyle w:val="Pogrubienie"/>
        </w:rPr>
        <w:t xml:space="preserve"> </w:t>
      </w:r>
      <w:r w:rsidRPr="0054324B">
        <w:rPr>
          <w:rStyle w:val="Pogrubienie"/>
        </w:rPr>
        <w:t>202</w:t>
      </w:r>
      <w:r w:rsidR="00E25F24">
        <w:rPr>
          <w:rStyle w:val="Pogrubienie"/>
        </w:rPr>
        <w:t>5</w:t>
      </w:r>
      <w:r w:rsidRPr="0054324B">
        <w:rPr>
          <w:rStyle w:val="Pogrubienie"/>
        </w:rPr>
        <w:t>) WRAZ Z OPISEM PRZYJĘTYCH ZAŁOŻEŃ</w:t>
      </w:r>
      <w:bookmarkEnd w:id="16"/>
    </w:p>
    <w:p w14:paraId="706AEB94" w14:textId="77777777" w:rsidR="00DD2510" w:rsidRPr="000F06BE" w:rsidRDefault="00DD2510" w:rsidP="000F06BE"/>
    <w:p w14:paraId="50DC6E52" w14:textId="77777777" w:rsidR="00DD2510" w:rsidRDefault="00DD2510" w:rsidP="002B78A5">
      <w:pPr>
        <w:pStyle w:val="Nagwek2"/>
        <w:framePr w:wrap="auto"/>
      </w:pPr>
      <w:bookmarkStart w:id="17" w:name="_Toc75616045"/>
      <w:bookmarkStart w:id="18" w:name="_Toc75796548"/>
      <w:bookmarkStart w:id="19" w:name="_Toc132708833"/>
      <w:r w:rsidRPr="002B78A5">
        <w:t>Opis  przyjętych  założeń  makroekonomicznych  i  mikroekonomicznych                                      z  uwzględnieniem  ich  wpływu  na  projekcję  dotyczącą  sprawozdań  finansowych w  latach  objętych  prognozą</w:t>
      </w:r>
      <w:bookmarkEnd w:id="19"/>
      <w:r w:rsidRPr="002B78A5">
        <w:t xml:space="preserve"> </w:t>
      </w:r>
    </w:p>
    <w:p w14:paraId="33812CD0" w14:textId="77777777" w:rsidR="00DD2510" w:rsidRDefault="00DD2510" w:rsidP="007C13B9">
      <w:pPr>
        <w:ind w:firstLine="708"/>
      </w:pPr>
    </w:p>
    <w:p w14:paraId="7DA0E60D" w14:textId="0FE5382F" w:rsidR="00DD2510" w:rsidRPr="00FF1F43" w:rsidRDefault="00DD2510" w:rsidP="005D00D7">
      <w:pPr>
        <w:spacing w:line="360" w:lineRule="atLeast"/>
        <w:ind w:firstLine="708"/>
        <w:jc w:val="both"/>
      </w:pPr>
      <w:r w:rsidRPr="00FF1F43">
        <w:t>SP ZOZ Szpital Kolejowy w Wilkowicach-Bystrej prowadzi gospodarkę finansową na zasadach określonych w ustawie o działalności leczniczej. Prognoza na okres 202</w:t>
      </w:r>
      <w:r w:rsidR="00E25F24">
        <w:t>3</w:t>
      </w:r>
      <w:r w:rsidRPr="00FF1F43">
        <w:t>-202</w:t>
      </w:r>
      <w:r w:rsidR="00E25F24">
        <w:t>5</w:t>
      </w:r>
      <w:r w:rsidRPr="00FF1F43">
        <w:t xml:space="preserve"> rok została opracowana zgodnie z art. 52 ustawy o działalności leczniczej. SP ZOZ pokrywa,                                 z posiadanych  środków i uzyskiwanych  przychodów koszty działalności i reguluje zobowiązania. </w:t>
      </w:r>
    </w:p>
    <w:p w14:paraId="20A66D4C" w14:textId="77777777" w:rsidR="00DD2510" w:rsidRPr="0001668F" w:rsidRDefault="00DD2510" w:rsidP="005D00D7">
      <w:pPr>
        <w:spacing w:line="360" w:lineRule="atLeast"/>
        <w:ind w:firstLine="708"/>
        <w:jc w:val="both"/>
      </w:pPr>
      <w:r w:rsidRPr="00BD7B91">
        <w:t xml:space="preserve">W prognozach  sytuacji ekonomiczno-finansowej  na  kolejne trzy  lata  obrotowe założono utrzymanie  stabilności  ekonomiczno-finansowej Zakładu, jak również podejmowanie działań zmierzających do osiągnięcia ujemnego wyniku finansowego na poziomie nie przekraczającym amortyzacji. </w:t>
      </w:r>
    </w:p>
    <w:p w14:paraId="108E31C6" w14:textId="40218D8E" w:rsidR="00AF1420" w:rsidRDefault="00DD2510" w:rsidP="00AF1420">
      <w:pPr>
        <w:pStyle w:val="NormalnyWeb"/>
        <w:shd w:val="clear" w:color="auto" w:fill="FFFFFF"/>
        <w:spacing w:before="0" w:beforeAutospacing="0" w:after="240" w:afterAutospacing="0" w:line="360" w:lineRule="atLeast"/>
        <w:jc w:val="both"/>
        <w:textAlignment w:val="baseline"/>
        <w:rPr>
          <w:color w:val="1B1B1B"/>
        </w:rPr>
      </w:pPr>
      <w:r w:rsidRPr="00BD7B91">
        <w:t>Przy opracowaniu raportu uwzględniono zmiany w zasadach  finansowania świadczeń ze środków  publicznych,  oraz  opublikowane w dniu 26 kwietnia</w:t>
      </w:r>
      <w:r w:rsidR="002A1624">
        <w:t xml:space="preserve"> 2022r. </w:t>
      </w:r>
      <w:r w:rsidRPr="00BD7B91">
        <w:t>przez Radę  Ministrów założenia makroekonomiczne  określone w  Wieloletnim  Planie  Finansowym  Państwa  na  lat</w:t>
      </w:r>
      <w:r w:rsidR="002A1624">
        <w:t xml:space="preserve">a </w:t>
      </w:r>
      <w:r w:rsidRPr="00BD7B91">
        <w:t>202</w:t>
      </w:r>
      <w:r w:rsidR="002A1624">
        <w:t>2</w:t>
      </w:r>
      <w:r w:rsidRPr="00BD7B91">
        <w:t>-202</w:t>
      </w:r>
      <w:r w:rsidR="002A1624">
        <w:t>5</w:t>
      </w:r>
      <w:r w:rsidRPr="00BD7B91">
        <w:t>, dotyczące sektora ochrony zdrowi</w:t>
      </w:r>
      <w:r w:rsidR="009B5DCF">
        <w:t xml:space="preserve">a, oraz na podstawie </w:t>
      </w:r>
      <w:r w:rsidR="008C191A">
        <w:t xml:space="preserve">bieżących </w:t>
      </w:r>
      <w:r w:rsidR="009B5DCF">
        <w:t xml:space="preserve">wytycznych dotyczących </w:t>
      </w:r>
      <w:r w:rsidR="00AF1420">
        <w:t xml:space="preserve">stosowania </w:t>
      </w:r>
      <w:r w:rsidR="009B5DCF">
        <w:t>jednolitych wskaźników makroekonomicznyc</w:t>
      </w:r>
      <w:r w:rsidR="00AF1420">
        <w:t>h</w:t>
      </w:r>
      <w:r w:rsidR="008C191A">
        <w:t xml:space="preserve">. </w:t>
      </w:r>
      <w:r w:rsidRPr="00BD7B91">
        <w:rPr>
          <w:color w:val="1B1B1B"/>
        </w:rPr>
        <w:t xml:space="preserve">Obowiązek przygotowywania Wieloletniego Planu Finansowego Państwa (WPFP) wynika z art. 104 </w:t>
      </w:r>
      <w:r w:rsidRPr="00BD7B91">
        <w:rPr>
          <w:color w:val="1B1B1B"/>
        </w:rPr>
        <w:lastRenderedPageBreak/>
        <w:t>ustawy o finansach publicznych. Począwszy od 2014 r. WPFP jest opracowywany w nowym układzie i składa się z:</w:t>
      </w:r>
    </w:p>
    <w:p w14:paraId="5B844079" w14:textId="1C29F44F" w:rsidR="00DD2510" w:rsidRDefault="00DD2510" w:rsidP="00AF1420">
      <w:pPr>
        <w:pStyle w:val="NormalnyWeb"/>
        <w:shd w:val="clear" w:color="auto" w:fill="FFFFFF"/>
        <w:spacing w:before="0" w:beforeAutospacing="0" w:after="240" w:afterAutospacing="0" w:line="360" w:lineRule="atLeast"/>
        <w:jc w:val="both"/>
        <w:textAlignment w:val="baseline"/>
        <w:rPr>
          <w:color w:val="1B1B1B"/>
        </w:rPr>
      </w:pPr>
      <w:r>
        <w:rPr>
          <w:color w:val="1B1B1B"/>
        </w:rPr>
        <w:t>- p</w:t>
      </w:r>
      <w:r w:rsidRPr="00BD7B91">
        <w:rPr>
          <w:color w:val="1B1B1B"/>
        </w:rPr>
        <w:t>rogramu konwergencji, do którego przygotowania Polska jest zobowiązana zgodnie z art. 7</w:t>
      </w:r>
      <w:r>
        <w:rPr>
          <w:color w:val="1B1B1B"/>
        </w:rPr>
        <w:t xml:space="preserve"> rozporządzenia Rady UE 1466/97,</w:t>
      </w:r>
    </w:p>
    <w:p w14:paraId="7BAA3CFE" w14:textId="77777777" w:rsidR="00DD2510" w:rsidRDefault="00DD2510" w:rsidP="005D00D7">
      <w:pPr>
        <w:pStyle w:val="NormalnyWeb"/>
        <w:shd w:val="clear" w:color="auto" w:fill="FFFFFF"/>
        <w:spacing w:before="0" w:beforeAutospacing="0" w:after="240" w:afterAutospacing="0"/>
        <w:jc w:val="both"/>
        <w:textAlignment w:val="baseline"/>
        <w:rPr>
          <w:color w:val="1B1B1B"/>
        </w:rPr>
      </w:pPr>
      <w:r w:rsidRPr="0001668F">
        <w:rPr>
          <w:color w:val="1B1B1B"/>
        </w:rPr>
        <w:t>- określenia celów głównych funkcji państwa wraz z miernikami stopnia ich realizacji.</w:t>
      </w:r>
    </w:p>
    <w:p w14:paraId="4CF2D0B6" w14:textId="77777777" w:rsidR="00DD2510" w:rsidRPr="00FF1F43" w:rsidRDefault="00DD2510" w:rsidP="005D00D7">
      <w:pPr>
        <w:spacing w:line="360" w:lineRule="atLeast"/>
      </w:pPr>
      <w:r w:rsidRPr="00FF1F43">
        <w:rPr>
          <w:b/>
          <w:bCs/>
        </w:rPr>
        <w:t>Założenia do prognozy przychodów i kosztów</w:t>
      </w:r>
    </w:p>
    <w:p w14:paraId="1A3DBA73" w14:textId="14336226" w:rsidR="00DD2510" w:rsidRPr="00062266" w:rsidRDefault="00DD2510" w:rsidP="005D00D7">
      <w:pPr>
        <w:spacing w:line="360" w:lineRule="atLeast"/>
        <w:ind w:firstLine="708"/>
        <w:jc w:val="both"/>
      </w:pPr>
      <w:r w:rsidRPr="00FF1F43">
        <w:t>Podstawą określenia prognozowanych przychodów, w naszym Szpitalu, jest plan finansowy na 202</w:t>
      </w:r>
      <w:r w:rsidR="00952FF1">
        <w:t>3</w:t>
      </w:r>
      <w:r>
        <w:t xml:space="preserve"> rok. </w:t>
      </w:r>
      <w:r w:rsidRPr="00FF1F43">
        <w:rPr>
          <w:spacing w:val="-8"/>
        </w:rPr>
        <w:t>Przychód  z  NFZ  na  202</w:t>
      </w:r>
      <w:r w:rsidR="00952FF1">
        <w:rPr>
          <w:spacing w:val="-8"/>
        </w:rPr>
        <w:t>3</w:t>
      </w:r>
      <w:r w:rsidRPr="00FF1F43">
        <w:rPr>
          <w:spacing w:val="-8"/>
        </w:rPr>
        <w:t xml:space="preserve">  zaplanowano  z  uwzględnieniem  umów zawartych  wg stanu na dzień  sporządzenia  raportu</w:t>
      </w:r>
      <w:r>
        <w:rPr>
          <w:spacing w:val="-8"/>
        </w:rPr>
        <w:t xml:space="preserve"> </w:t>
      </w:r>
      <w:r w:rsidRPr="00FF1F43">
        <w:rPr>
          <w:spacing w:val="-8"/>
        </w:rPr>
        <w:t>za  202</w:t>
      </w:r>
      <w:r w:rsidR="00952FF1">
        <w:rPr>
          <w:spacing w:val="-8"/>
        </w:rPr>
        <w:t>2</w:t>
      </w:r>
      <w:r w:rsidRPr="00FF1F43">
        <w:rPr>
          <w:spacing w:val="-8"/>
        </w:rPr>
        <w:t xml:space="preserve">  rok</w:t>
      </w:r>
      <w:r>
        <w:rPr>
          <w:color w:val="FF00FF"/>
          <w:spacing w:val="-8"/>
        </w:rPr>
        <w:t xml:space="preserve">. </w:t>
      </w:r>
      <w:r w:rsidRPr="00062266">
        <w:t>Prognozę przychodów w zakresie świadczeń objętych ryczałtem na lata 202</w:t>
      </w:r>
      <w:r w:rsidR="00952FF1">
        <w:t>3</w:t>
      </w:r>
      <w:r w:rsidRPr="00062266">
        <w:t>-202</w:t>
      </w:r>
      <w:r w:rsidR="00952FF1">
        <w:t>5</w:t>
      </w:r>
      <w:r w:rsidRPr="00062266">
        <w:t xml:space="preserve">  opracowano  z  uwzględnieniem Rozporządzenia Ministra Zdrowia  w sprawie określenia sposobu ustalania ryczałtu systemu podstawowego szpitalnego zabezpieczenia świadczeń opieki zdrowotnej oraz wykazu świadczeń opieki zdrowotnej wymagających ustalenia odrębnego sposobu finansowania.</w:t>
      </w:r>
    </w:p>
    <w:p w14:paraId="4D268992" w14:textId="104927E2" w:rsidR="00DD2510" w:rsidRPr="00FF1F43" w:rsidRDefault="00DD2510" w:rsidP="005D00D7">
      <w:pPr>
        <w:spacing w:line="360" w:lineRule="atLeast"/>
        <w:ind w:firstLine="708"/>
        <w:jc w:val="both"/>
      </w:pPr>
      <w:r w:rsidRPr="00FF1F43">
        <w:t>W prognozach na lata 202</w:t>
      </w:r>
      <w:r w:rsidR="00952FF1">
        <w:t>3</w:t>
      </w:r>
      <w:r w:rsidRPr="00FF1F43">
        <w:t>-202</w:t>
      </w:r>
      <w:r w:rsidR="00952FF1">
        <w:t>5</w:t>
      </w:r>
      <w:r w:rsidRPr="00FF1F43">
        <w:t xml:space="preserve"> założono realizację ambulatoryjnych świadczeń specjalistycznych finansowanych ze środków publicznych na dotychczasowym poziomie, uwzględniając jednocześnie zmiany w zakresie wyceny  przychodów. </w:t>
      </w:r>
    </w:p>
    <w:p w14:paraId="5A787DEE" w14:textId="77777777" w:rsidR="00DD2510" w:rsidRDefault="00DD2510" w:rsidP="00903819">
      <w:pPr>
        <w:spacing w:line="360" w:lineRule="atLeast"/>
        <w:ind w:firstLine="708"/>
        <w:jc w:val="both"/>
      </w:pPr>
      <w:r w:rsidRPr="00FF1F43">
        <w:t xml:space="preserve">Nowe warunki zawierania i realizacji umów w rodzaju ambulatoryjna opieka specjalistyczna, związane są z wejściem w życie znowelizowanych przepisów ustawy                           o świadczeniach opieki  zdrowotnej,  finansowanych  ze  środków  publicznych  oraz wydanych na jej podstawie rozporządzeniach, wprowadzających regulacje dotyczące systemu podstawowego szpitalnego zabezpieczenia świadczeń opieki zdrowotnej, zwanego dalej ,,systemem zabezpieczenia” zostały  zmienione  od  1  października  2017 r. </w:t>
      </w:r>
    </w:p>
    <w:p w14:paraId="5B83EFC5" w14:textId="13B549F0" w:rsidR="00DD2510" w:rsidRPr="00FE775D" w:rsidRDefault="00DD2510" w:rsidP="00903819">
      <w:pPr>
        <w:spacing w:line="360" w:lineRule="atLeast"/>
        <w:jc w:val="both"/>
      </w:pPr>
      <w:r w:rsidRPr="00FE775D">
        <w:rPr>
          <w:kern w:val="1"/>
        </w:rPr>
        <w:t xml:space="preserve">Nasz  Szpital, został zakwalifikowany do systemu zabezpieczenia w grupie „szpitale” (Szpital </w:t>
      </w:r>
      <w:r w:rsidRPr="00FE775D">
        <w:rPr>
          <w:kern w:val="1"/>
        </w:rPr>
        <w:br/>
        <w:t xml:space="preserve">I stopnia). SP ZOZ Szpital Kolejowy w Wilkowicach-Bystrej jest szpitalem wielospecjalistycznym o charakterze zachowawczym. Wykonuje zadania w sposób ciągły, zapewniający całodobową opiekę lekarską i pielęgniarską. Przyjęcia pacjentów do Szpitala odbywają się w Izbie Przyjęć, całodobowo we wszystkie dni tygodnia. </w:t>
      </w:r>
      <w:r>
        <w:rPr>
          <w:shd w:val="clear" w:color="auto" w:fill="FFFFFF"/>
        </w:rPr>
        <w:t>Liczba</w:t>
      </w:r>
      <w:r w:rsidRPr="00FE775D">
        <w:rPr>
          <w:shd w:val="clear" w:color="auto" w:fill="FFFFFF"/>
        </w:rPr>
        <w:t xml:space="preserve">  łóżek szpitalnych  na  oddziałach</w:t>
      </w:r>
      <w:r>
        <w:rPr>
          <w:shd w:val="clear" w:color="auto" w:fill="FFFFFF"/>
        </w:rPr>
        <w:t xml:space="preserve">  </w:t>
      </w:r>
      <w:r w:rsidRPr="00FE775D">
        <w:rPr>
          <w:shd w:val="clear" w:color="auto" w:fill="FFFFFF"/>
        </w:rPr>
        <w:t>razem</w:t>
      </w:r>
      <w:r>
        <w:rPr>
          <w:shd w:val="clear" w:color="auto" w:fill="FFFFFF"/>
        </w:rPr>
        <w:t xml:space="preserve"> wynosi </w:t>
      </w:r>
      <w:r w:rsidR="00226ED5">
        <w:rPr>
          <w:shd w:val="clear" w:color="auto" w:fill="FFFFFF"/>
        </w:rPr>
        <w:t>1</w:t>
      </w:r>
      <w:r w:rsidR="00632B6E">
        <w:rPr>
          <w:shd w:val="clear" w:color="auto" w:fill="FFFFFF"/>
        </w:rPr>
        <w:t>24</w:t>
      </w:r>
      <w:r>
        <w:rPr>
          <w:shd w:val="clear" w:color="auto" w:fill="FFFFFF"/>
        </w:rPr>
        <w:t>, w tym</w:t>
      </w:r>
      <w:r w:rsidRPr="00FE775D">
        <w:rPr>
          <w:shd w:val="clear" w:color="auto" w:fill="FFFFFF"/>
        </w:rPr>
        <w:t>:</w:t>
      </w:r>
    </w:p>
    <w:p w14:paraId="5B225DB9" w14:textId="51ABEBC9" w:rsidR="00DD2510" w:rsidRPr="00FE775D" w:rsidRDefault="00DD2510" w:rsidP="00632B6E">
      <w:pPr>
        <w:pStyle w:val="Tekstpodstawowy"/>
        <w:spacing w:after="0" w:line="360" w:lineRule="atLeast"/>
        <w:ind w:left="397"/>
        <w:jc w:val="both"/>
      </w:pPr>
      <w:r w:rsidRPr="00FE775D">
        <w:t>1)       Oddziale Wewnętrzny   -   22 łóżek - wykonującym kompleksowe świadczenia                           z zakresu chorób wewnętrznych, bez profilowania na hematologię, diabetologię, gastroenterologię  itp.,</w:t>
      </w:r>
    </w:p>
    <w:p w14:paraId="50725CF2" w14:textId="77777777" w:rsidR="00DD2510" w:rsidRPr="00FE775D" w:rsidRDefault="00DD2510" w:rsidP="00903819">
      <w:pPr>
        <w:pStyle w:val="Tekstpodstawowy"/>
        <w:spacing w:after="0" w:line="360" w:lineRule="atLeast"/>
        <w:ind w:left="397"/>
        <w:jc w:val="both"/>
      </w:pPr>
      <w:r w:rsidRPr="00FE775D">
        <w:t>3)       Oddziale Pulmonologiczny   -   22 łóżek,</w:t>
      </w:r>
    </w:p>
    <w:p w14:paraId="4E64887B" w14:textId="2EF54250" w:rsidR="00DD2510" w:rsidRPr="00FE775D" w:rsidRDefault="00DD2510" w:rsidP="00903819">
      <w:pPr>
        <w:pStyle w:val="Tekstpodstawowy"/>
        <w:spacing w:after="0" w:line="360" w:lineRule="atLeast"/>
        <w:ind w:left="397"/>
        <w:jc w:val="both"/>
      </w:pPr>
      <w:r>
        <w:t>4</w:t>
      </w:r>
      <w:r w:rsidRPr="00FE775D">
        <w:t>)       Oddziale Rehabilitacji Ogólnoustrojowej   -   </w:t>
      </w:r>
      <w:r w:rsidR="00226ED5">
        <w:t>30</w:t>
      </w:r>
      <w:r w:rsidRPr="00FE775D">
        <w:t xml:space="preserve"> łóżek,</w:t>
      </w:r>
    </w:p>
    <w:p w14:paraId="01D4A4FD" w14:textId="77777777" w:rsidR="00DD2510" w:rsidRPr="00FE775D" w:rsidRDefault="00DD2510" w:rsidP="00903819">
      <w:pPr>
        <w:pStyle w:val="Tekstpodstawowy"/>
        <w:spacing w:after="0" w:line="360" w:lineRule="atLeast"/>
        <w:ind w:left="397"/>
        <w:jc w:val="both"/>
      </w:pPr>
      <w:r>
        <w:t>5</w:t>
      </w:r>
      <w:r w:rsidRPr="00FE775D">
        <w:t>)       Oddziale Rehabilitacji Neurologicznej   -   25 łóżek,</w:t>
      </w:r>
    </w:p>
    <w:p w14:paraId="55CA2A44" w14:textId="50535C43" w:rsidR="00DD2510" w:rsidRDefault="00DD2510" w:rsidP="00903819">
      <w:pPr>
        <w:pStyle w:val="Tekstpodstawowy"/>
        <w:spacing w:after="0" w:line="360" w:lineRule="atLeast"/>
        <w:ind w:left="397"/>
        <w:jc w:val="both"/>
      </w:pPr>
      <w:r>
        <w:t>6</w:t>
      </w:r>
      <w:r w:rsidRPr="00FE775D">
        <w:t>)       Oddzial</w:t>
      </w:r>
      <w:r w:rsidR="00632B6E">
        <w:t>e Medycyny</w:t>
      </w:r>
      <w:r w:rsidRPr="00FE775D">
        <w:t xml:space="preserve"> Paliatywnej   -   2</w:t>
      </w:r>
      <w:r w:rsidR="00632B6E">
        <w:t>5</w:t>
      </w:r>
      <w:r w:rsidRPr="00FE775D">
        <w:t xml:space="preserve"> łóżek.</w:t>
      </w:r>
    </w:p>
    <w:p w14:paraId="33E74691" w14:textId="77777777" w:rsidR="00D47C07" w:rsidRDefault="00D47C07" w:rsidP="00D47C07">
      <w:pPr>
        <w:pStyle w:val="Tekstpodstawowy"/>
        <w:spacing w:after="0" w:line="360" w:lineRule="atLeast"/>
        <w:ind w:left="330"/>
        <w:jc w:val="both"/>
      </w:pPr>
    </w:p>
    <w:p w14:paraId="331ACF54" w14:textId="44A97481" w:rsidR="00D47C07" w:rsidRDefault="00D47C07" w:rsidP="00D47C07">
      <w:pPr>
        <w:pStyle w:val="Tekstpodstawowy"/>
        <w:spacing w:after="0" w:line="360" w:lineRule="atLeast"/>
        <w:ind w:left="330"/>
        <w:jc w:val="both"/>
      </w:pPr>
      <w:r w:rsidRPr="00402325">
        <w:t>Świadczenia z zakresu ambulatoryjnej opieki specjalistycznej realizowane są w</w:t>
      </w:r>
    </w:p>
    <w:p w14:paraId="26908FE0" w14:textId="77777777" w:rsidR="00D47C07" w:rsidRPr="00402325" w:rsidRDefault="00D47C07" w:rsidP="00D47C07">
      <w:pPr>
        <w:pStyle w:val="Tekstpodstawowy"/>
        <w:spacing w:after="0" w:line="360" w:lineRule="atLeast"/>
        <w:ind w:left="330"/>
        <w:jc w:val="both"/>
      </w:pPr>
      <w:r w:rsidRPr="00402325">
        <w:t>Poradniach Specjalistycznych:</w:t>
      </w:r>
    </w:p>
    <w:p w14:paraId="12EC4D5C" w14:textId="77777777" w:rsidR="00D47C07" w:rsidRPr="00402325" w:rsidRDefault="00D47C07" w:rsidP="00D47C07">
      <w:pPr>
        <w:pStyle w:val="Tekstpodstawowy"/>
        <w:spacing w:after="0" w:line="360" w:lineRule="atLeast"/>
        <w:ind w:left="330"/>
        <w:jc w:val="both"/>
      </w:pPr>
      <w:r w:rsidRPr="00402325">
        <w:lastRenderedPageBreak/>
        <w:t>1)       Poradni Kardiologicznej,</w:t>
      </w:r>
    </w:p>
    <w:p w14:paraId="0E6072C1" w14:textId="77777777" w:rsidR="00D47C07" w:rsidRPr="00402325" w:rsidRDefault="00D47C07" w:rsidP="00D47C07">
      <w:pPr>
        <w:pStyle w:val="Tekstpodstawowy"/>
        <w:spacing w:after="0" w:line="360" w:lineRule="atLeast"/>
        <w:ind w:left="330"/>
        <w:jc w:val="both"/>
      </w:pPr>
      <w:r>
        <w:t xml:space="preserve">2)       Poradni Neurologicznej, </w:t>
      </w:r>
    </w:p>
    <w:p w14:paraId="251F0FA9" w14:textId="77777777" w:rsidR="00D47C07" w:rsidRPr="00402325" w:rsidRDefault="00D47C07" w:rsidP="00D47C07">
      <w:pPr>
        <w:pStyle w:val="Tekstpodstawowy"/>
        <w:spacing w:after="0" w:line="360" w:lineRule="atLeast"/>
        <w:ind w:left="330"/>
        <w:jc w:val="both"/>
      </w:pPr>
      <w:r w:rsidRPr="00402325">
        <w:t>3)       Poradni Rehabilitacyjnej,</w:t>
      </w:r>
    </w:p>
    <w:p w14:paraId="33A88D0E" w14:textId="77777777" w:rsidR="00D47C07" w:rsidRDefault="00D47C07" w:rsidP="00D47C07">
      <w:pPr>
        <w:pStyle w:val="Tekstpodstawowy"/>
        <w:spacing w:after="0" w:line="360" w:lineRule="atLeast"/>
        <w:ind w:left="330"/>
        <w:jc w:val="both"/>
      </w:pPr>
      <w:r w:rsidRPr="00402325">
        <w:t xml:space="preserve">4)       Poradni </w:t>
      </w:r>
      <w:r>
        <w:t xml:space="preserve">Medycyny </w:t>
      </w:r>
      <w:r w:rsidRPr="00402325">
        <w:t>Paliatywnej,</w:t>
      </w:r>
    </w:p>
    <w:p w14:paraId="64381093" w14:textId="77777777" w:rsidR="00D47C07" w:rsidRPr="00402325" w:rsidRDefault="00D47C07" w:rsidP="00D47C07">
      <w:pPr>
        <w:pStyle w:val="Tekstpodstawowy"/>
        <w:spacing w:after="0" w:line="360" w:lineRule="atLeast"/>
        <w:ind w:left="330"/>
        <w:jc w:val="both"/>
      </w:pPr>
      <w:r>
        <w:t>5)</w:t>
      </w:r>
      <w:r>
        <w:tab/>
        <w:t xml:space="preserve">    </w:t>
      </w:r>
      <w:r w:rsidRPr="00402325">
        <w:t>Poradni</w:t>
      </w:r>
      <w:r>
        <w:t xml:space="preserve"> </w:t>
      </w:r>
      <w:proofErr w:type="spellStart"/>
      <w:r>
        <w:t>Pulmunologicznej</w:t>
      </w:r>
      <w:proofErr w:type="spellEnd"/>
      <w:r w:rsidRPr="00402325">
        <w:t>,</w:t>
      </w:r>
    </w:p>
    <w:p w14:paraId="55E0C3F9" w14:textId="77777777" w:rsidR="00D47C07" w:rsidRDefault="00D47C07" w:rsidP="00D47C07">
      <w:pPr>
        <w:pStyle w:val="Tekstpodstawowy"/>
        <w:spacing w:after="0" w:line="360" w:lineRule="atLeast"/>
        <w:ind w:left="330"/>
        <w:jc w:val="both"/>
      </w:pPr>
      <w:r w:rsidRPr="00402325">
        <w:t>5)       Zespole Domowej Opieki Paliatywnej.</w:t>
      </w:r>
    </w:p>
    <w:p w14:paraId="2ACB08DE" w14:textId="77777777" w:rsidR="00D47C07" w:rsidRDefault="00D47C07" w:rsidP="00D47C07">
      <w:pPr>
        <w:pStyle w:val="Tekstpodstawowy"/>
        <w:spacing w:after="0" w:line="360" w:lineRule="atLeast"/>
        <w:ind w:left="330"/>
        <w:jc w:val="both"/>
      </w:pPr>
    </w:p>
    <w:p w14:paraId="4A1FE538" w14:textId="77777777" w:rsidR="00D47C07" w:rsidRPr="00402325" w:rsidRDefault="00D47C07" w:rsidP="00D47C07">
      <w:pPr>
        <w:pStyle w:val="Tekstpodstawowy"/>
        <w:spacing w:after="0" w:line="360" w:lineRule="atLeast"/>
        <w:ind w:left="330"/>
        <w:jc w:val="both"/>
      </w:pPr>
      <w:r w:rsidRPr="00402325">
        <w:t>W Szpitalu działa  również: Zakład Rehabilitacji, Pracownia Diagnostyki Laboratoryjnej, Zakład Diagnostyki z Pracowniami: Diagnostyki Obrazowej, Badań Czynnościowych oraz Pracownią  Badań  Endoskopowych.</w:t>
      </w:r>
    </w:p>
    <w:p w14:paraId="1E68BCAC" w14:textId="77777777" w:rsidR="00D47C07" w:rsidRPr="00402325" w:rsidRDefault="00D47C07" w:rsidP="00903819">
      <w:pPr>
        <w:pStyle w:val="Tekstpodstawowy"/>
        <w:spacing w:after="0" w:line="360" w:lineRule="atLeast"/>
        <w:ind w:left="397"/>
        <w:jc w:val="both"/>
      </w:pPr>
    </w:p>
    <w:p w14:paraId="47C460ED" w14:textId="4E9F1173" w:rsidR="00DD2510" w:rsidRDefault="00DD2510" w:rsidP="00903819">
      <w:pPr>
        <w:spacing w:line="360" w:lineRule="atLeast"/>
        <w:jc w:val="both"/>
      </w:pPr>
      <w:r w:rsidRPr="00062266">
        <w:t>Kwoty kosztów i wydatków ujęte w prognozie stanowią koszty i wydatki związane                                                       z realizacją umów z płatnikiem publicznym oraz innych przychodów. W prognozach ujęto również zaplanowane do sfinansowania wydatki w ramach projektów i  programów wieloletnich</w:t>
      </w:r>
      <w:r>
        <w:t xml:space="preserve"> </w:t>
      </w:r>
      <w:r w:rsidRPr="00062266">
        <w:t>w tym związane z programami współfinansowanymi udziałem środków zagranicznych a także wydatki  inwestycyjne  na  lata  202</w:t>
      </w:r>
      <w:r w:rsidR="00226ED5">
        <w:t>3</w:t>
      </w:r>
      <w:r w:rsidRPr="00062266">
        <w:t xml:space="preserve"> - 202</w:t>
      </w:r>
      <w:r w:rsidR="00226ED5">
        <w:t>5</w:t>
      </w:r>
      <w:r w:rsidRPr="00062266">
        <w:t xml:space="preserve"> r.</w:t>
      </w:r>
    </w:p>
    <w:p w14:paraId="53C735FE" w14:textId="77777777" w:rsidR="00DD2510" w:rsidRPr="00402325" w:rsidRDefault="00DD2510" w:rsidP="00DA73B9">
      <w:pPr>
        <w:jc w:val="both"/>
      </w:pPr>
    </w:p>
    <w:p w14:paraId="1C6F3F92" w14:textId="77CB03F5" w:rsidR="00DD2510" w:rsidRDefault="00DD2510" w:rsidP="00903819">
      <w:pPr>
        <w:spacing w:line="360" w:lineRule="atLeast"/>
        <w:jc w:val="both"/>
      </w:pPr>
      <w:r w:rsidRPr="007C0821">
        <w:t>Prognozy  na  lata  202</w:t>
      </w:r>
      <w:r w:rsidR="007C313D">
        <w:t>3</w:t>
      </w:r>
      <w:r w:rsidRPr="007C0821">
        <w:t>, 202</w:t>
      </w:r>
      <w:r w:rsidR="007C313D">
        <w:t>4</w:t>
      </w:r>
      <w:r w:rsidRPr="007C0821">
        <w:t xml:space="preserve"> i 202</w:t>
      </w:r>
      <w:r w:rsidR="007C313D">
        <w:t>5</w:t>
      </w:r>
      <w:r w:rsidRPr="007C0821">
        <w:t xml:space="preserve">  tworzono  w  oparciu  o  bilans, rachunek  zysków  i  strat  za  rok  202</w:t>
      </w:r>
      <w:r w:rsidR="007C313D">
        <w:t>2</w:t>
      </w:r>
      <w:r w:rsidRPr="007C0821">
        <w:t>. Zostały  w  nich  również  ujęte wartości  inwestycji  budowlanych,  które  będą realizowane  w  najbliższych  latach.</w:t>
      </w:r>
    </w:p>
    <w:p w14:paraId="72E685E6" w14:textId="77777777" w:rsidR="00DD2510" w:rsidRPr="007C0821" w:rsidRDefault="00DD2510" w:rsidP="00903819">
      <w:pPr>
        <w:spacing w:line="360" w:lineRule="atLeast"/>
        <w:jc w:val="both"/>
      </w:pPr>
    </w:p>
    <w:p w14:paraId="10ABBBCC" w14:textId="1C1B6038" w:rsidR="00DD2510" w:rsidRDefault="00DD2510" w:rsidP="005D00D7">
      <w:pPr>
        <w:pStyle w:val="Nagwek2"/>
        <w:framePr w:wrap="auto"/>
      </w:pPr>
      <w:bookmarkStart w:id="20" w:name="_Toc132708834"/>
      <w:bookmarkEnd w:id="17"/>
      <w:bookmarkEnd w:id="18"/>
      <w:r w:rsidRPr="002B78A5">
        <w:t>Prognoza zysku i strat za lata 202</w:t>
      </w:r>
      <w:r w:rsidR="007C313D">
        <w:t>3</w:t>
      </w:r>
      <w:r w:rsidRPr="002B78A5">
        <w:t>, 202</w:t>
      </w:r>
      <w:r w:rsidR="007C313D">
        <w:t>4</w:t>
      </w:r>
      <w:r w:rsidRPr="002B78A5">
        <w:t xml:space="preserve"> i 202</w:t>
      </w:r>
      <w:r w:rsidR="007C313D">
        <w:t>5</w:t>
      </w:r>
      <w:r w:rsidRPr="002B78A5">
        <w:t>:</w:t>
      </w:r>
      <w:bookmarkEnd w:id="20"/>
    </w:p>
    <w:p w14:paraId="463ACDDB" w14:textId="77777777" w:rsidR="000B4FAC" w:rsidRPr="000B4FAC" w:rsidRDefault="000B4FAC" w:rsidP="000B4FAC"/>
    <w:tbl>
      <w:tblPr>
        <w:tblW w:w="8481" w:type="dxa"/>
        <w:tblInd w:w="80" w:type="dxa"/>
        <w:tblCellMar>
          <w:left w:w="70" w:type="dxa"/>
          <w:right w:w="70" w:type="dxa"/>
        </w:tblCellMar>
        <w:tblLook w:val="04A0" w:firstRow="1" w:lastRow="0" w:firstColumn="1" w:lastColumn="0" w:noHBand="0" w:noVBand="1"/>
      </w:tblPr>
      <w:tblGrid>
        <w:gridCol w:w="965"/>
        <w:gridCol w:w="2219"/>
        <w:gridCol w:w="1739"/>
        <w:gridCol w:w="1779"/>
        <w:gridCol w:w="1779"/>
      </w:tblGrid>
      <w:tr w:rsidR="00E60C69" w14:paraId="1D9AC4BB" w14:textId="77777777" w:rsidTr="00E60C69">
        <w:trPr>
          <w:trHeight w:val="780"/>
        </w:trPr>
        <w:tc>
          <w:tcPr>
            <w:tcW w:w="848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B3DFBA" w14:textId="77777777" w:rsidR="00E60C69" w:rsidRDefault="00E60C69">
            <w:pPr>
              <w:suppressAutoHyphens w:val="0"/>
              <w:spacing w:line="240" w:lineRule="auto"/>
              <w:jc w:val="center"/>
              <w:rPr>
                <w:b/>
                <w:bCs/>
                <w:sz w:val="22"/>
                <w:szCs w:val="22"/>
                <w:lang w:eastAsia="pl-PL"/>
              </w:rPr>
            </w:pPr>
            <w:r>
              <w:rPr>
                <w:b/>
                <w:bCs/>
                <w:sz w:val="22"/>
                <w:szCs w:val="22"/>
              </w:rPr>
              <w:t xml:space="preserve">RACHUNEK ZYSKÓW I STRAT </w:t>
            </w:r>
          </w:p>
        </w:tc>
      </w:tr>
      <w:tr w:rsidR="00E60C69" w14:paraId="3596CF63"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579EB76" w14:textId="77777777" w:rsidR="00E60C69" w:rsidRDefault="00E60C69">
            <w:pPr>
              <w:rPr>
                <w:sz w:val="20"/>
                <w:szCs w:val="20"/>
              </w:rPr>
            </w:pPr>
            <w:r>
              <w:rPr>
                <w:sz w:val="20"/>
                <w:szCs w:val="20"/>
              </w:rPr>
              <w:t>KOD</w:t>
            </w:r>
          </w:p>
        </w:tc>
        <w:tc>
          <w:tcPr>
            <w:tcW w:w="2219" w:type="dxa"/>
            <w:tcBorders>
              <w:top w:val="nil"/>
              <w:left w:val="nil"/>
              <w:bottom w:val="single" w:sz="8" w:space="0" w:color="auto"/>
              <w:right w:val="single" w:sz="8" w:space="0" w:color="auto"/>
            </w:tcBorders>
            <w:shd w:val="clear" w:color="auto" w:fill="auto"/>
            <w:vAlign w:val="center"/>
            <w:hideMark/>
          </w:tcPr>
          <w:p w14:paraId="414AEA2E" w14:textId="77777777" w:rsidR="00E60C69" w:rsidRDefault="00E60C69">
            <w:pPr>
              <w:jc w:val="center"/>
              <w:rPr>
                <w:sz w:val="20"/>
                <w:szCs w:val="20"/>
              </w:rPr>
            </w:pPr>
            <w:r>
              <w:rPr>
                <w:sz w:val="20"/>
                <w:szCs w:val="20"/>
              </w:rPr>
              <w:t xml:space="preserve">Wyszczególnienie </w:t>
            </w:r>
          </w:p>
        </w:tc>
        <w:tc>
          <w:tcPr>
            <w:tcW w:w="1739" w:type="dxa"/>
            <w:tcBorders>
              <w:top w:val="nil"/>
              <w:left w:val="nil"/>
              <w:bottom w:val="single" w:sz="8" w:space="0" w:color="auto"/>
              <w:right w:val="single" w:sz="8" w:space="0" w:color="auto"/>
            </w:tcBorders>
            <w:shd w:val="clear" w:color="auto" w:fill="auto"/>
            <w:vAlign w:val="center"/>
            <w:hideMark/>
          </w:tcPr>
          <w:p w14:paraId="7206B828" w14:textId="77777777" w:rsidR="00E60C69" w:rsidRDefault="00E60C69">
            <w:pPr>
              <w:jc w:val="center"/>
              <w:rPr>
                <w:b/>
                <w:bCs/>
                <w:sz w:val="20"/>
                <w:szCs w:val="20"/>
              </w:rPr>
            </w:pPr>
            <w:r>
              <w:rPr>
                <w:b/>
                <w:bCs/>
                <w:sz w:val="20"/>
                <w:szCs w:val="20"/>
              </w:rPr>
              <w:t>2023</w:t>
            </w:r>
          </w:p>
        </w:tc>
        <w:tc>
          <w:tcPr>
            <w:tcW w:w="1779" w:type="dxa"/>
            <w:tcBorders>
              <w:top w:val="nil"/>
              <w:left w:val="nil"/>
              <w:bottom w:val="single" w:sz="8" w:space="0" w:color="auto"/>
              <w:right w:val="single" w:sz="8" w:space="0" w:color="auto"/>
            </w:tcBorders>
            <w:shd w:val="clear" w:color="auto" w:fill="auto"/>
            <w:vAlign w:val="center"/>
            <w:hideMark/>
          </w:tcPr>
          <w:p w14:paraId="06D3C162" w14:textId="77777777" w:rsidR="00E60C69" w:rsidRDefault="00E60C69">
            <w:pPr>
              <w:jc w:val="center"/>
              <w:rPr>
                <w:b/>
                <w:bCs/>
                <w:sz w:val="20"/>
                <w:szCs w:val="20"/>
              </w:rPr>
            </w:pPr>
            <w:r>
              <w:rPr>
                <w:b/>
                <w:bCs/>
                <w:sz w:val="20"/>
                <w:szCs w:val="20"/>
              </w:rPr>
              <w:t>2024</w:t>
            </w:r>
          </w:p>
        </w:tc>
        <w:tc>
          <w:tcPr>
            <w:tcW w:w="1779" w:type="dxa"/>
            <w:tcBorders>
              <w:top w:val="nil"/>
              <w:left w:val="nil"/>
              <w:bottom w:val="single" w:sz="8" w:space="0" w:color="auto"/>
              <w:right w:val="single" w:sz="8" w:space="0" w:color="auto"/>
            </w:tcBorders>
            <w:shd w:val="clear" w:color="auto" w:fill="auto"/>
            <w:vAlign w:val="center"/>
            <w:hideMark/>
          </w:tcPr>
          <w:p w14:paraId="04AE80FB" w14:textId="77777777" w:rsidR="00E60C69" w:rsidRDefault="00E60C69">
            <w:pPr>
              <w:jc w:val="center"/>
              <w:rPr>
                <w:b/>
                <w:bCs/>
                <w:sz w:val="20"/>
                <w:szCs w:val="20"/>
              </w:rPr>
            </w:pPr>
            <w:r>
              <w:rPr>
                <w:b/>
                <w:bCs/>
                <w:sz w:val="20"/>
                <w:szCs w:val="20"/>
              </w:rPr>
              <w:t>2025</w:t>
            </w:r>
          </w:p>
        </w:tc>
      </w:tr>
      <w:tr w:rsidR="00E60C69" w14:paraId="5882F61F" w14:textId="77777777">
        <w:trPr>
          <w:trHeight w:val="780"/>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759ED743" w14:textId="77777777" w:rsidR="00E60C69" w:rsidRPr="00E60C69" w:rsidRDefault="00E60C69">
            <w:pPr>
              <w:rPr>
                <w:b/>
                <w:bCs/>
                <w:sz w:val="18"/>
                <w:szCs w:val="18"/>
              </w:rPr>
            </w:pPr>
            <w:r w:rsidRPr="00E60C69">
              <w:rPr>
                <w:b/>
                <w:bCs/>
                <w:sz w:val="18"/>
                <w:szCs w:val="18"/>
              </w:rPr>
              <w:t>A.</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69B51E6C" w14:textId="77777777" w:rsidR="00E60C69" w:rsidRPr="00E60C69" w:rsidRDefault="00E60C69">
            <w:pPr>
              <w:rPr>
                <w:b/>
                <w:bCs/>
                <w:sz w:val="18"/>
                <w:szCs w:val="18"/>
              </w:rPr>
            </w:pPr>
            <w:r w:rsidRPr="00E60C69">
              <w:rPr>
                <w:b/>
                <w:bCs/>
                <w:sz w:val="18"/>
                <w:szCs w:val="18"/>
              </w:rPr>
              <w:t xml:space="preserve"> Przychody netto ze sprzedaży i zrównane z nimi,  w tym:</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645D0374" w14:textId="77777777" w:rsidR="00E60C69" w:rsidRDefault="00E60C69">
            <w:pPr>
              <w:jc w:val="center"/>
              <w:rPr>
                <w:b/>
                <w:bCs/>
                <w:i/>
                <w:iCs/>
                <w:sz w:val="20"/>
                <w:szCs w:val="20"/>
              </w:rPr>
            </w:pPr>
            <w:r>
              <w:rPr>
                <w:b/>
                <w:bCs/>
                <w:i/>
                <w:iCs/>
                <w:sz w:val="20"/>
                <w:szCs w:val="20"/>
              </w:rPr>
              <w:t>24 314 000,00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F5A5A65" w14:textId="77777777" w:rsidR="00E60C69" w:rsidRDefault="00E60C69">
            <w:pPr>
              <w:jc w:val="center"/>
              <w:rPr>
                <w:b/>
                <w:bCs/>
                <w:i/>
                <w:iCs/>
                <w:sz w:val="20"/>
                <w:szCs w:val="20"/>
              </w:rPr>
            </w:pPr>
            <w:r>
              <w:rPr>
                <w:b/>
                <w:bCs/>
                <w:i/>
                <w:iCs/>
                <w:sz w:val="20"/>
                <w:szCs w:val="20"/>
              </w:rPr>
              <w:t>24 640 000,00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284ACC0E" w14:textId="77777777" w:rsidR="00E60C69" w:rsidRDefault="00E60C69">
            <w:pPr>
              <w:jc w:val="center"/>
              <w:rPr>
                <w:b/>
                <w:bCs/>
                <w:i/>
                <w:iCs/>
                <w:sz w:val="20"/>
                <w:szCs w:val="20"/>
              </w:rPr>
            </w:pPr>
            <w:r>
              <w:rPr>
                <w:b/>
                <w:bCs/>
                <w:i/>
                <w:iCs/>
                <w:sz w:val="20"/>
                <w:szCs w:val="20"/>
              </w:rPr>
              <w:t>25 140 000,00</w:t>
            </w:r>
          </w:p>
        </w:tc>
      </w:tr>
      <w:tr w:rsidR="00E60C69" w14:paraId="460C9A44"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328F694" w14:textId="77777777" w:rsidR="00E60C69" w:rsidRPr="00E60C69" w:rsidRDefault="00E60C69">
            <w:pPr>
              <w:jc w:val="right"/>
              <w:rPr>
                <w:sz w:val="18"/>
                <w:szCs w:val="18"/>
              </w:rPr>
            </w:pPr>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45885425" w14:textId="77777777" w:rsidR="00E60C69" w:rsidRPr="00E60C69" w:rsidRDefault="00E60C69">
            <w:pPr>
              <w:rPr>
                <w:i/>
                <w:iCs/>
                <w:sz w:val="18"/>
                <w:szCs w:val="18"/>
              </w:rPr>
            </w:pPr>
            <w:r w:rsidRPr="00E60C69">
              <w:rPr>
                <w:i/>
                <w:iCs/>
                <w:sz w:val="18"/>
                <w:szCs w:val="18"/>
              </w:rPr>
              <w:t>od jednostek powiązanych</w:t>
            </w:r>
          </w:p>
        </w:tc>
        <w:tc>
          <w:tcPr>
            <w:tcW w:w="1739" w:type="dxa"/>
            <w:tcBorders>
              <w:top w:val="nil"/>
              <w:left w:val="nil"/>
              <w:bottom w:val="single" w:sz="8" w:space="0" w:color="auto"/>
              <w:right w:val="single" w:sz="8" w:space="0" w:color="auto"/>
            </w:tcBorders>
            <w:shd w:val="clear" w:color="auto" w:fill="auto"/>
            <w:vAlign w:val="center"/>
            <w:hideMark/>
          </w:tcPr>
          <w:p w14:paraId="1A10FB1E"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87E620D"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3845062" w14:textId="77777777" w:rsidR="00E60C69" w:rsidRDefault="00E60C69">
            <w:pPr>
              <w:jc w:val="center"/>
              <w:rPr>
                <w:i/>
                <w:iCs/>
                <w:sz w:val="20"/>
                <w:szCs w:val="20"/>
              </w:rPr>
            </w:pPr>
            <w:r>
              <w:rPr>
                <w:i/>
                <w:iCs/>
                <w:sz w:val="20"/>
                <w:szCs w:val="20"/>
              </w:rPr>
              <w:t>0,00</w:t>
            </w:r>
          </w:p>
        </w:tc>
      </w:tr>
      <w:tr w:rsidR="00E60C69" w14:paraId="4D58D5B8"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6C86F44C" w14:textId="77777777" w:rsidR="00E60C69" w:rsidRPr="00E60C69" w:rsidRDefault="00E60C69">
            <w:pPr>
              <w:rPr>
                <w:sz w:val="18"/>
                <w:szCs w:val="18"/>
              </w:rPr>
            </w:pPr>
            <w:proofErr w:type="spellStart"/>
            <w:r w:rsidRPr="00E60C69">
              <w:rPr>
                <w:sz w:val="18"/>
                <w:szCs w:val="18"/>
              </w:rPr>
              <w:t>A.l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10570066" w14:textId="77777777" w:rsidR="00E60C69" w:rsidRPr="00E60C69" w:rsidRDefault="00E60C69">
            <w:pPr>
              <w:rPr>
                <w:sz w:val="18"/>
                <w:szCs w:val="18"/>
              </w:rPr>
            </w:pPr>
            <w:r w:rsidRPr="00E60C69">
              <w:rPr>
                <w:sz w:val="18"/>
                <w:szCs w:val="18"/>
              </w:rPr>
              <w:t>Przychody netto ze sprzedaży produktów</w:t>
            </w:r>
          </w:p>
        </w:tc>
        <w:tc>
          <w:tcPr>
            <w:tcW w:w="1739" w:type="dxa"/>
            <w:tcBorders>
              <w:top w:val="nil"/>
              <w:left w:val="nil"/>
              <w:bottom w:val="single" w:sz="8" w:space="0" w:color="auto"/>
              <w:right w:val="single" w:sz="8" w:space="0" w:color="auto"/>
            </w:tcBorders>
            <w:shd w:val="clear" w:color="auto" w:fill="auto"/>
            <w:vAlign w:val="center"/>
            <w:hideMark/>
          </w:tcPr>
          <w:p w14:paraId="74B6F509" w14:textId="77777777" w:rsidR="00E60C69" w:rsidRDefault="00E60C69">
            <w:pPr>
              <w:jc w:val="center"/>
              <w:rPr>
                <w:i/>
                <w:iCs/>
                <w:sz w:val="20"/>
                <w:szCs w:val="20"/>
              </w:rPr>
            </w:pPr>
            <w:r>
              <w:rPr>
                <w:i/>
                <w:iCs/>
                <w:sz w:val="20"/>
                <w:szCs w:val="20"/>
              </w:rPr>
              <w:t>24 360 000,00</w:t>
            </w:r>
          </w:p>
        </w:tc>
        <w:tc>
          <w:tcPr>
            <w:tcW w:w="1779" w:type="dxa"/>
            <w:tcBorders>
              <w:top w:val="nil"/>
              <w:left w:val="nil"/>
              <w:bottom w:val="single" w:sz="8" w:space="0" w:color="auto"/>
              <w:right w:val="single" w:sz="8" w:space="0" w:color="auto"/>
            </w:tcBorders>
            <w:shd w:val="clear" w:color="auto" w:fill="auto"/>
            <w:vAlign w:val="center"/>
            <w:hideMark/>
          </w:tcPr>
          <w:p w14:paraId="29E34C03" w14:textId="77777777" w:rsidR="00E60C69" w:rsidRDefault="00E60C69">
            <w:pPr>
              <w:jc w:val="center"/>
              <w:rPr>
                <w:i/>
                <w:iCs/>
                <w:sz w:val="20"/>
                <w:szCs w:val="20"/>
              </w:rPr>
            </w:pPr>
            <w:r>
              <w:rPr>
                <w:i/>
                <w:iCs/>
                <w:sz w:val="20"/>
                <w:szCs w:val="20"/>
              </w:rPr>
              <w:t>24 660 000,00</w:t>
            </w:r>
          </w:p>
        </w:tc>
        <w:tc>
          <w:tcPr>
            <w:tcW w:w="1779" w:type="dxa"/>
            <w:tcBorders>
              <w:top w:val="nil"/>
              <w:left w:val="nil"/>
              <w:bottom w:val="single" w:sz="8" w:space="0" w:color="auto"/>
              <w:right w:val="single" w:sz="8" w:space="0" w:color="auto"/>
            </w:tcBorders>
            <w:shd w:val="clear" w:color="auto" w:fill="auto"/>
            <w:vAlign w:val="center"/>
            <w:hideMark/>
          </w:tcPr>
          <w:p w14:paraId="0FE7DEBE" w14:textId="77777777" w:rsidR="00E60C69" w:rsidRDefault="00E60C69">
            <w:pPr>
              <w:jc w:val="center"/>
              <w:rPr>
                <w:i/>
                <w:iCs/>
                <w:sz w:val="20"/>
                <w:szCs w:val="20"/>
              </w:rPr>
            </w:pPr>
            <w:r>
              <w:rPr>
                <w:i/>
                <w:iCs/>
                <w:sz w:val="20"/>
                <w:szCs w:val="20"/>
              </w:rPr>
              <w:t>25 180 000,00</w:t>
            </w:r>
          </w:p>
        </w:tc>
      </w:tr>
      <w:tr w:rsidR="00E60C69" w14:paraId="6D83DD62"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40BE49C" w14:textId="77777777" w:rsidR="00E60C69" w:rsidRPr="00E60C69" w:rsidRDefault="00E60C69">
            <w:pPr>
              <w:rPr>
                <w:sz w:val="18"/>
                <w:szCs w:val="18"/>
              </w:rPr>
            </w:pPr>
            <w:r w:rsidRPr="00E60C69">
              <w:rPr>
                <w:sz w:val="18"/>
                <w:szCs w:val="18"/>
              </w:rPr>
              <w:t>A.I.1.</w:t>
            </w:r>
          </w:p>
        </w:tc>
        <w:tc>
          <w:tcPr>
            <w:tcW w:w="2219" w:type="dxa"/>
            <w:tcBorders>
              <w:top w:val="nil"/>
              <w:left w:val="nil"/>
              <w:bottom w:val="single" w:sz="8" w:space="0" w:color="auto"/>
              <w:right w:val="single" w:sz="8" w:space="0" w:color="auto"/>
            </w:tcBorders>
            <w:shd w:val="clear" w:color="auto" w:fill="auto"/>
            <w:vAlign w:val="center"/>
            <w:hideMark/>
          </w:tcPr>
          <w:p w14:paraId="374E1CAC" w14:textId="77777777" w:rsidR="00E60C69" w:rsidRPr="00E60C69" w:rsidRDefault="00E60C69">
            <w:pPr>
              <w:rPr>
                <w:sz w:val="18"/>
                <w:szCs w:val="18"/>
              </w:rPr>
            </w:pPr>
            <w:r w:rsidRPr="00E60C69">
              <w:rPr>
                <w:sz w:val="18"/>
                <w:szCs w:val="18"/>
              </w:rPr>
              <w:t>sprzedanych NFZ</w:t>
            </w:r>
          </w:p>
        </w:tc>
        <w:tc>
          <w:tcPr>
            <w:tcW w:w="1739" w:type="dxa"/>
            <w:tcBorders>
              <w:top w:val="nil"/>
              <w:left w:val="nil"/>
              <w:bottom w:val="single" w:sz="8" w:space="0" w:color="auto"/>
              <w:right w:val="single" w:sz="8" w:space="0" w:color="auto"/>
            </w:tcBorders>
            <w:shd w:val="clear" w:color="auto" w:fill="auto"/>
            <w:vAlign w:val="center"/>
            <w:hideMark/>
          </w:tcPr>
          <w:p w14:paraId="4AAED0D2" w14:textId="77777777" w:rsidR="00E60C69" w:rsidRDefault="00E60C69">
            <w:pPr>
              <w:jc w:val="center"/>
              <w:rPr>
                <w:i/>
                <w:iCs/>
                <w:sz w:val="20"/>
                <w:szCs w:val="20"/>
              </w:rPr>
            </w:pPr>
            <w:r>
              <w:rPr>
                <w:i/>
                <w:iCs/>
                <w:sz w:val="20"/>
                <w:szCs w:val="20"/>
              </w:rPr>
              <w:t>23 500 000,00</w:t>
            </w:r>
          </w:p>
        </w:tc>
        <w:tc>
          <w:tcPr>
            <w:tcW w:w="1779" w:type="dxa"/>
            <w:tcBorders>
              <w:top w:val="nil"/>
              <w:left w:val="nil"/>
              <w:bottom w:val="single" w:sz="8" w:space="0" w:color="auto"/>
              <w:right w:val="single" w:sz="8" w:space="0" w:color="auto"/>
            </w:tcBorders>
            <w:shd w:val="clear" w:color="auto" w:fill="auto"/>
            <w:vAlign w:val="center"/>
            <w:hideMark/>
          </w:tcPr>
          <w:p w14:paraId="2F8DD611" w14:textId="77777777" w:rsidR="00E60C69" w:rsidRDefault="00E60C69">
            <w:pPr>
              <w:jc w:val="center"/>
              <w:rPr>
                <w:i/>
                <w:iCs/>
                <w:sz w:val="20"/>
                <w:szCs w:val="20"/>
              </w:rPr>
            </w:pPr>
            <w:r>
              <w:rPr>
                <w:i/>
                <w:iCs/>
                <w:sz w:val="20"/>
                <w:szCs w:val="20"/>
              </w:rPr>
              <w:t>24 000 000,00</w:t>
            </w:r>
          </w:p>
        </w:tc>
        <w:tc>
          <w:tcPr>
            <w:tcW w:w="1779" w:type="dxa"/>
            <w:tcBorders>
              <w:top w:val="nil"/>
              <w:left w:val="nil"/>
              <w:bottom w:val="single" w:sz="8" w:space="0" w:color="auto"/>
              <w:right w:val="single" w:sz="8" w:space="0" w:color="auto"/>
            </w:tcBorders>
            <w:shd w:val="clear" w:color="auto" w:fill="auto"/>
            <w:vAlign w:val="center"/>
            <w:hideMark/>
          </w:tcPr>
          <w:p w14:paraId="6F5A127B" w14:textId="77777777" w:rsidR="00E60C69" w:rsidRDefault="00E60C69">
            <w:pPr>
              <w:jc w:val="center"/>
              <w:rPr>
                <w:i/>
                <w:iCs/>
                <w:sz w:val="20"/>
                <w:szCs w:val="20"/>
              </w:rPr>
            </w:pPr>
            <w:r>
              <w:rPr>
                <w:i/>
                <w:iCs/>
                <w:sz w:val="20"/>
                <w:szCs w:val="20"/>
              </w:rPr>
              <w:t>24 500 000,00</w:t>
            </w:r>
          </w:p>
        </w:tc>
      </w:tr>
      <w:tr w:rsidR="00E60C69" w14:paraId="610B754C"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6D0FD99" w14:textId="77777777" w:rsidR="00E60C69" w:rsidRPr="00E60C69" w:rsidRDefault="00E60C69">
            <w:pPr>
              <w:rPr>
                <w:sz w:val="18"/>
                <w:szCs w:val="18"/>
              </w:rPr>
            </w:pPr>
            <w:r w:rsidRPr="00E60C69">
              <w:rPr>
                <w:sz w:val="18"/>
                <w:szCs w:val="18"/>
              </w:rPr>
              <w:t>A.I.2.</w:t>
            </w:r>
          </w:p>
        </w:tc>
        <w:tc>
          <w:tcPr>
            <w:tcW w:w="2219" w:type="dxa"/>
            <w:tcBorders>
              <w:top w:val="nil"/>
              <w:left w:val="nil"/>
              <w:bottom w:val="single" w:sz="8" w:space="0" w:color="auto"/>
              <w:right w:val="single" w:sz="8" w:space="0" w:color="auto"/>
            </w:tcBorders>
            <w:shd w:val="clear" w:color="auto" w:fill="auto"/>
            <w:vAlign w:val="center"/>
            <w:hideMark/>
          </w:tcPr>
          <w:p w14:paraId="4A9DC04E" w14:textId="77777777" w:rsidR="00E60C69" w:rsidRPr="00E60C69" w:rsidRDefault="00E60C69">
            <w:pPr>
              <w:rPr>
                <w:sz w:val="18"/>
                <w:szCs w:val="18"/>
              </w:rPr>
            </w:pPr>
            <w:r w:rsidRPr="00E60C69">
              <w:rPr>
                <w:sz w:val="18"/>
                <w:szCs w:val="18"/>
              </w:rPr>
              <w:t>sprzedanych Ministerstwu Zdrowia</w:t>
            </w:r>
          </w:p>
        </w:tc>
        <w:tc>
          <w:tcPr>
            <w:tcW w:w="1739" w:type="dxa"/>
            <w:tcBorders>
              <w:top w:val="nil"/>
              <w:left w:val="nil"/>
              <w:bottom w:val="single" w:sz="8" w:space="0" w:color="auto"/>
              <w:right w:val="single" w:sz="8" w:space="0" w:color="auto"/>
            </w:tcBorders>
            <w:shd w:val="clear" w:color="auto" w:fill="auto"/>
            <w:vAlign w:val="center"/>
            <w:hideMark/>
          </w:tcPr>
          <w:p w14:paraId="20E75591" w14:textId="77777777" w:rsidR="00E60C69" w:rsidRDefault="00E60C69">
            <w:pPr>
              <w:jc w:val="center"/>
              <w:rPr>
                <w:i/>
                <w:iCs/>
                <w:sz w:val="20"/>
                <w:szCs w:val="20"/>
              </w:rPr>
            </w:pPr>
            <w:r>
              <w:rPr>
                <w:i/>
                <w:iCs/>
                <w:sz w:val="20"/>
                <w:szCs w:val="20"/>
              </w:rPr>
              <w:t>530 000,00</w:t>
            </w:r>
          </w:p>
        </w:tc>
        <w:tc>
          <w:tcPr>
            <w:tcW w:w="1779" w:type="dxa"/>
            <w:tcBorders>
              <w:top w:val="nil"/>
              <w:left w:val="nil"/>
              <w:bottom w:val="single" w:sz="8" w:space="0" w:color="auto"/>
              <w:right w:val="single" w:sz="8" w:space="0" w:color="auto"/>
            </w:tcBorders>
            <w:shd w:val="clear" w:color="auto" w:fill="auto"/>
            <w:vAlign w:val="center"/>
            <w:hideMark/>
          </w:tcPr>
          <w:p w14:paraId="65CA5E5C" w14:textId="77777777" w:rsidR="00E60C69" w:rsidRDefault="00E60C69">
            <w:pPr>
              <w:jc w:val="center"/>
              <w:rPr>
                <w:i/>
                <w:iCs/>
                <w:sz w:val="20"/>
                <w:szCs w:val="20"/>
              </w:rPr>
            </w:pPr>
            <w:r>
              <w:rPr>
                <w:i/>
                <w:iCs/>
                <w:sz w:val="20"/>
                <w:szCs w:val="20"/>
              </w:rPr>
              <w:t>330 000,00</w:t>
            </w:r>
          </w:p>
        </w:tc>
        <w:tc>
          <w:tcPr>
            <w:tcW w:w="1779" w:type="dxa"/>
            <w:tcBorders>
              <w:top w:val="nil"/>
              <w:left w:val="nil"/>
              <w:bottom w:val="single" w:sz="8" w:space="0" w:color="auto"/>
              <w:right w:val="single" w:sz="8" w:space="0" w:color="auto"/>
            </w:tcBorders>
            <w:shd w:val="clear" w:color="auto" w:fill="auto"/>
            <w:vAlign w:val="center"/>
            <w:hideMark/>
          </w:tcPr>
          <w:p w14:paraId="1F92E297" w14:textId="77777777" w:rsidR="00E60C69" w:rsidRDefault="00E60C69">
            <w:pPr>
              <w:jc w:val="center"/>
              <w:rPr>
                <w:i/>
                <w:iCs/>
                <w:sz w:val="20"/>
                <w:szCs w:val="20"/>
              </w:rPr>
            </w:pPr>
            <w:r>
              <w:rPr>
                <w:i/>
                <w:iCs/>
                <w:sz w:val="20"/>
                <w:szCs w:val="20"/>
              </w:rPr>
              <w:t>350 000,00</w:t>
            </w:r>
          </w:p>
        </w:tc>
      </w:tr>
      <w:tr w:rsidR="00E60C69" w14:paraId="37BB2535"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F9FD887" w14:textId="77777777" w:rsidR="00E60C69" w:rsidRPr="00E60C69" w:rsidRDefault="00E60C69">
            <w:pPr>
              <w:rPr>
                <w:sz w:val="18"/>
                <w:szCs w:val="18"/>
              </w:rPr>
            </w:pPr>
            <w:r w:rsidRPr="00E60C69">
              <w:rPr>
                <w:sz w:val="18"/>
                <w:szCs w:val="18"/>
              </w:rPr>
              <w:t>A.I.3.</w:t>
            </w:r>
          </w:p>
        </w:tc>
        <w:tc>
          <w:tcPr>
            <w:tcW w:w="2219" w:type="dxa"/>
            <w:tcBorders>
              <w:top w:val="nil"/>
              <w:left w:val="nil"/>
              <w:bottom w:val="single" w:sz="8" w:space="0" w:color="auto"/>
              <w:right w:val="single" w:sz="8" w:space="0" w:color="auto"/>
            </w:tcBorders>
            <w:shd w:val="clear" w:color="auto" w:fill="auto"/>
            <w:vAlign w:val="center"/>
            <w:hideMark/>
          </w:tcPr>
          <w:p w14:paraId="02426673" w14:textId="77777777" w:rsidR="00E60C69" w:rsidRPr="00E60C69" w:rsidRDefault="00E60C69">
            <w:pPr>
              <w:rPr>
                <w:sz w:val="18"/>
                <w:szCs w:val="18"/>
              </w:rPr>
            </w:pPr>
            <w:r w:rsidRPr="00E60C69">
              <w:rPr>
                <w:sz w:val="18"/>
                <w:szCs w:val="18"/>
              </w:rPr>
              <w:t>sprzedanych pracodawcom</w:t>
            </w:r>
          </w:p>
        </w:tc>
        <w:tc>
          <w:tcPr>
            <w:tcW w:w="1739" w:type="dxa"/>
            <w:tcBorders>
              <w:top w:val="nil"/>
              <w:left w:val="nil"/>
              <w:bottom w:val="single" w:sz="8" w:space="0" w:color="auto"/>
              <w:right w:val="single" w:sz="8" w:space="0" w:color="auto"/>
            </w:tcBorders>
            <w:shd w:val="clear" w:color="auto" w:fill="auto"/>
            <w:vAlign w:val="center"/>
            <w:hideMark/>
          </w:tcPr>
          <w:p w14:paraId="4860EE1E"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99BD26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9E3EAFF" w14:textId="77777777" w:rsidR="00E60C69" w:rsidRDefault="00E60C69">
            <w:pPr>
              <w:jc w:val="center"/>
              <w:rPr>
                <w:i/>
                <w:iCs/>
                <w:sz w:val="20"/>
                <w:szCs w:val="20"/>
              </w:rPr>
            </w:pPr>
            <w:r>
              <w:rPr>
                <w:i/>
                <w:iCs/>
                <w:sz w:val="20"/>
                <w:szCs w:val="20"/>
              </w:rPr>
              <w:t>0,00</w:t>
            </w:r>
          </w:p>
        </w:tc>
      </w:tr>
      <w:tr w:rsidR="00E60C69" w14:paraId="6826DFAE"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18F43BD" w14:textId="77777777" w:rsidR="00E60C69" w:rsidRPr="00E60C69" w:rsidRDefault="00E60C69">
            <w:pPr>
              <w:rPr>
                <w:sz w:val="18"/>
                <w:szCs w:val="18"/>
              </w:rPr>
            </w:pPr>
            <w:r w:rsidRPr="00E60C69">
              <w:rPr>
                <w:sz w:val="18"/>
                <w:szCs w:val="18"/>
              </w:rPr>
              <w:t>A.I.4.</w:t>
            </w:r>
          </w:p>
        </w:tc>
        <w:tc>
          <w:tcPr>
            <w:tcW w:w="2219" w:type="dxa"/>
            <w:tcBorders>
              <w:top w:val="nil"/>
              <w:left w:val="nil"/>
              <w:bottom w:val="single" w:sz="8" w:space="0" w:color="auto"/>
              <w:right w:val="single" w:sz="8" w:space="0" w:color="auto"/>
            </w:tcBorders>
            <w:shd w:val="clear" w:color="auto" w:fill="auto"/>
            <w:vAlign w:val="center"/>
            <w:hideMark/>
          </w:tcPr>
          <w:p w14:paraId="10266934" w14:textId="77777777" w:rsidR="00E60C69" w:rsidRPr="00E60C69" w:rsidRDefault="00E60C69">
            <w:pPr>
              <w:rPr>
                <w:sz w:val="18"/>
                <w:szCs w:val="18"/>
              </w:rPr>
            </w:pPr>
            <w:r w:rsidRPr="00E60C69">
              <w:rPr>
                <w:sz w:val="18"/>
                <w:szCs w:val="18"/>
              </w:rPr>
              <w:t>pozostałych</w:t>
            </w:r>
          </w:p>
        </w:tc>
        <w:tc>
          <w:tcPr>
            <w:tcW w:w="1739" w:type="dxa"/>
            <w:tcBorders>
              <w:top w:val="nil"/>
              <w:left w:val="nil"/>
              <w:bottom w:val="single" w:sz="8" w:space="0" w:color="auto"/>
              <w:right w:val="single" w:sz="8" w:space="0" w:color="auto"/>
            </w:tcBorders>
            <w:shd w:val="clear" w:color="auto" w:fill="auto"/>
            <w:vAlign w:val="center"/>
            <w:hideMark/>
          </w:tcPr>
          <w:p w14:paraId="2C9EA491" w14:textId="77777777" w:rsidR="00E60C69" w:rsidRDefault="00E60C69">
            <w:pPr>
              <w:jc w:val="center"/>
              <w:rPr>
                <w:i/>
                <w:iCs/>
                <w:sz w:val="20"/>
                <w:szCs w:val="20"/>
              </w:rPr>
            </w:pPr>
            <w:r>
              <w:rPr>
                <w:i/>
                <w:iCs/>
                <w:sz w:val="20"/>
                <w:szCs w:val="20"/>
              </w:rPr>
              <w:t>330 000,00</w:t>
            </w:r>
          </w:p>
        </w:tc>
        <w:tc>
          <w:tcPr>
            <w:tcW w:w="1779" w:type="dxa"/>
            <w:tcBorders>
              <w:top w:val="nil"/>
              <w:left w:val="nil"/>
              <w:bottom w:val="single" w:sz="8" w:space="0" w:color="auto"/>
              <w:right w:val="single" w:sz="8" w:space="0" w:color="auto"/>
            </w:tcBorders>
            <w:shd w:val="clear" w:color="auto" w:fill="auto"/>
            <w:vAlign w:val="center"/>
            <w:hideMark/>
          </w:tcPr>
          <w:p w14:paraId="5D1C1CC0" w14:textId="77777777" w:rsidR="00E60C69" w:rsidRDefault="00E60C69">
            <w:pPr>
              <w:jc w:val="center"/>
              <w:rPr>
                <w:i/>
                <w:iCs/>
                <w:sz w:val="20"/>
                <w:szCs w:val="20"/>
              </w:rPr>
            </w:pPr>
            <w:r>
              <w:rPr>
                <w:i/>
                <w:iCs/>
                <w:sz w:val="20"/>
                <w:szCs w:val="20"/>
              </w:rPr>
              <w:t>330 000,00</w:t>
            </w:r>
          </w:p>
        </w:tc>
        <w:tc>
          <w:tcPr>
            <w:tcW w:w="1779" w:type="dxa"/>
            <w:tcBorders>
              <w:top w:val="nil"/>
              <w:left w:val="nil"/>
              <w:bottom w:val="single" w:sz="8" w:space="0" w:color="auto"/>
              <w:right w:val="single" w:sz="8" w:space="0" w:color="auto"/>
            </w:tcBorders>
            <w:shd w:val="clear" w:color="auto" w:fill="auto"/>
            <w:vAlign w:val="center"/>
            <w:hideMark/>
          </w:tcPr>
          <w:p w14:paraId="1A87D5EF" w14:textId="77777777" w:rsidR="00E60C69" w:rsidRDefault="00E60C69">
            <w:pPr>
              <w:jc w:val="center"/>
              <w:rPr>
                <w:i/>
                <w:iCs/>
                <w:sz w:val="20"/>
                <w:szCs w:val="20"/>
              </w:rPr>
            </w:pPr>
            <w:r>
              <w:rPr>
                <w:i/>
                <w:iCs/>
                <w:sz w:val="20"/>
                <w:szCs w:val="20"/>
              </w:rPr>
              <w:t>330 000,00</w:t>
            </w:r>
          </w:p>
        </w:tc>
      </w:tr>
      <w:tr w:rsidR="00E60C69" w14:paraId="5FDAB12E" w14:textId="77777777" w:rsidTr="00E60C69">
        <w:trPr>
          <w:trHeight w:val="103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65FF658" w14:textId="77777777" w:rsidR="00E60C69" w:rsidRPr="00E60C69" w:rsidRDefault="00E60C69">
            <w:pPr>
              <w:rPr>
                <w:sz w:val="18"/>
                <w:szCs w:val="18"/>
              </w:rPr>
            </w:pPr>
            <w:r w:rsidRPr="00E60C69">
              <w:rPr>
                <w:sz w:val="18"/>
                <w:szCs w:val="18"/>
              </w:rPr>
              <w:lastRenderedPageBreak/>
              <w:t>A.II.</w:t>
            </w:r>
          </w:p>
        </w:tc>
        <w:tc>
          <w:tcPr>
            <w:tcW w:w="2219" w:type="dxa"/>
            <w:tcBorders>
              <w:top w:val="nil"/>
              <w:left w:val="nil"/>
              <w:bottom w:val="single" w:sz="8" w:space="0" w:color="auto"/>
              <w:right w:val="single" w:sz="8" w:space="0" w:color="auto"/>
            </w:tcBorders>
            <w:shd w:val="clear" w:color="000000" w:fill="FFFFFF"/>
            <w:vAlign w:val="center"/>
            <w:hideMark/>
          </w:tcPr>
          <w:p w14:paraId="1A7A6989" w14:textId="77777777" w:rsidR="00E60C69" w:rsidRPr="00E60C69" w:rsidRDefault="00E60C69">
            <w:pPr>
              <w:rPr>
                <w:sz w:val="18"/>
                <w:szCs w:val="18"/>
              </w:rPr>
            </w:pPr>
            <w:r w:rsidRPr="00E60C69">
              <w:rPr>
                <w:sz w:val="18"/>
                <w:szCs w:val="18"/>
              </w:rPr>
              <w:t>Zmiana stanu produktów (zwiększenie –wartość dodatnia, zmniejszenie –wartość ujemna)</w:t>
            </w:r>
          </w:p>
        </w:tc>
        <w:tc>
          <w:tcPr>
            <w:tcW w:w="1739" w:type="dxa"/>
            <w:tcBorders>
              <w:top w:val="nil"/>
              <w:left w:val="nil"/>
              <w:bottom w:val="single" w:sz="8" w:space="0" w:color="auto"/>
              <w:right w:val="single" w:sz="8" w:space="0" w:color="auto"/>
            </w:tcBorders>
            <w:shd w:val="clear" w:color="auto" w:fill="auto"/>
            <w:vAlign w:val="center"/>
            <w:hideMark/>
          </w:tcPr>
          <w:p w14:paraId="652F5EE5" w14:textId="77777777" w:rsidR="00E60C69" w:rsidRDefault="00E60C69">
            <w:pPr>
              <w:jc w:val="center"/>
              <w:rPr>
                <w:i/>
                <w:iCs/>
                <w:sz w:val="20"/>
                <w:szCs w:val="20"/>
              </w:rPr>
            </w:pPr>
            <w:r>
              <w:rPr>
                <w:i/>
                <w:iCs/>
                <w:sz w:val="20"/>
                <w:szCs w:val="20"/>
              </w:rPr>
              <w:t>-60 000,00</w:t>
            </w:r>
          </w:p>
        </w:tc>
        <w:tc>
          <w:tcPr>
            <w:tcW w:w="1779" w:type="dxa"/>
            <w:tcBorders>
              <w:top w:val="nil"/>
              <w:left w:val="nil"/>
              <w:bottom w:val="single" w:sz="8" w:space="0" w:color="auto"/>
              <w:right w:val="single" w:sz="8" w:space="0" w:color="auto"/>
            </w:tcBorders>
            <w:shd w:val="clear" w:color="auto" w:fill="auto"/>
            <w:vAlign w:val="center"/>
            <w:hideMark/>
          </w:tcPr>
          <w:p w14:paraId="655864E2" w14:textId="77777777" w:rsidR="00E60C69" w:rsidRDefault="00E60C69">
            <w:pPr>
              <w:jc w:val="center"/>
              <w:rPr>
                <w:i/>
                <w:iCs/>
                <w:sz w:val="20"/>
                <w:szCs w:val="20"/>
              </w:rPr>
            </w:pPr>
            <w:r>
              <w:rPr>
                <w:i/>
                <w:iCs/>
                <w:sz w:val="20"/>
                <w:szCs w:val="20"/>
              </w:rPr>
              <w:t>-30 000,00</w:t>
            </w:r>
          </w:p>
        </w:tc>
        <w:tc>
          <w:tcPr>
            <w:tcW w:w="1779" w:type="dxa"/>
            <w:tcBorders>
              <w:top w:val="nil"/>
              <w:left w:val="nil"/>
              <w:bottom w:val="single" w:sz="8" w:space="0" w:color="auto"/>
              <w:right w:val="single" w:sz="8" w:space="0" w:color="auto"/>
            </w:tcBorders>
            <w:shd w:val="clear" w:color="auto" w:fill="auto"/>
            <w:vAlign w:val="center"/>
            <w:hideMark/>
          </w:tcPr>
          <w:p w14:paraId="0B232F4F" w14:textId="77777777" w:rsidR="00E60C69" w:rsidRDefault="00E60C69">
            <w:pPr>
              <w:jc w:val="center"/>
              <w:rPr>
                <w:i/>
                <w:iCs/>
                <w:sz w:val="20"/>
                <w:szCs w:val="20"/>
              </w:rPr>
            </w:pPr>
            <w:r>
              <w:rPr>
                <w:i/>
                <w:iCs/>
                <w:sz w:val="20"/>
                <w:szCs w:val="20"/>
              </w:rPr>
              <w:t>-50 000,00</w:t>
            </w:r>
          </w:p>
        </w:tc>
      </w:tr>
      <w:tr w:rsidR="00E60C69" w14:paraId="0AE65AE2" w14:textId="77777777" w:rsidTr="00E60C69">
        <w:trPr>
          <w:trHeight w:val="780"/>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63CC167D" w14:textId="77777777" w:rsidR="00E60C69" w:rsidRPr="00E60C69" w:rsidRDefault="00E60C69">
            <w:pPr>
              <w:rPr>
                <w:sz w:val="18"/>
                <w:szCs w:val="18"/>
              </w:rPr>
            </w:pPr>
            <w:r w:rsidRPr="00E60C69">
              <w:rPr>
                <w:sz w:val="18"/>
                <w:szCs w:val="18"/>
              </w:rPr>
              <w:t>A.III.</w:t>
            </w:r>
          </w:p>
        </w:tc>
        <w:tc>
          <w:tcPr>
            <w:tcW w:w="2219" w:type="dxa"/>
            <w:tcBorders>
              <w:top w:val="nil"/>
              <w:left w:val="nil"/>
              <w:bottom w:val="single" w:sz="8" w:space="0" w:color="auto"/>
              <w:right w:val="single" w:sz="8" w:space="0" w:color="auto"/>
            </w:tcBorders>
            <w:shd w:val="clear" w:color="000000" w:fill="FFFFFF"/>
            <w:vAlign w:val="center"/>
            <w:hideMark/>
          </w:tcPr>
          <w:p w14:paraId="27879F04" w14:textId="77777777" w:rsidR="00E60C69" w:rsidRPr="00E60C69" w:rsidRDefault="00E60C69">
            <w:pPr>
              <w:rPr>
                <w:sz w:val="18"/>
                <w:szCs w:val="18"/>
              </w:rPr>
            </w:pPr>
            <w:r w:rsidRPr="00E60C69">
              <w:rPr>
                <w:sz w:val="18"/>
                <w:szCs w:val="18"/>
              </w:rPr>
              <w:t xml:space="preserve"> Koszty wytworzenia produktów na własne potrzeby jednostki</w:t>
            </w:r>
          </w:p>
        </w:tc>
        <w:tc>
          <w:tcPr>
            <w:tcW w:w="1739" w:type="dxa"/>
            <w:tcBorders>
              <w:top w:val="nil"/>
              <w:left w:val="nil"/>
              <w:bottom w:val="single" w:sz="8" w:space="0" w:color="auto"/>
              <w:right w:val="single" w:sz="8" w:space="0" w:color="auto"/>
            </w:tcBorders>
            <w:shd w:val="clear" w:color="auto" w:fill="auto"/>
            <w:vAlign w:val="center"/>
            <w:hideMark/>
          </w:tcPr>
          <w:p w14:paraId="18EC1B9F"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4EC5AF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A6A4BAF" w14:textId="77777777" w:rsidR="00E60C69" w:rsidRDefault="00E60C69">
            <w:pPr>
              <w:jc w:val="center"/>
              <w:rPr>
                <w:i/>
                <w:iCs/>
                <w:sz w:val="20"/>
                <w:szCs w:val="20"/>
              </w:rPr>
            </w:pPr>
            <w:r>
              <w:rPr>
                <w:i/>
                <w:iCs/>
                <w:sz w:val="20"/>
                <w:szCs w:val="20"/>
              </w:rPr>
              <w:t>0,00</w:t>
            </w:r>
          </w:p>
        </w:tc>
      </w:tr>
      <w:tr w:rsidR="00E60C69" w14:paraId="7C82060C" w14:textId="77777777" w:rsidTr="00E60C69">
        <w:trPr>
          <w:trHeight w:val="780"/>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2394F91" w14:textId="77777777" w:rsidR="00E60C69" w:rsidRPr="00E60C69" w:rsidRDefault="00E60C69">
            <w:pPr>
              <w:rPr>
                <w:sz w:val="18"/>
                <w:szCs w:val="18"/>
              </w:rPr>
            </w:pPr>
            <w:r w:rsidRPr="00E60C69">
              <w:rPr>
                <w:sz w:val="18"/>
                <w:szCs w:val="18"/>
              </w:rPr>
              <w:t>A.IV.</w:t>
            </w:r>
          </w:p>
        </w:tc>
        <w:tc>
          <w:tcPr>
            <w:tcW w:w="2219" w:type="dxa"/>
            <w:tcBorders>
              <w:top w:val="nil"/>
              <w:left w:val="nil"/>
              <w:bottom w:val="single" w:sz="8" w:space="0" w:color="auto"/>
              <w:right w:val="single" w:sz="8" w:space="0" w:color="auto"/>
            </w:tcBorders>
            <w:shd w:val="clear" w:color="000000" w:fill="FFFFFF"/>
            <w:vAlign w:val="center"/>
            <w:hideMark/>
          </w:tcPr>
          <w:p w14:paraId="2BAE41BF" w14:textId="77777777" w:rsidR="00E60C69" w:rsidRPr="00E60C69" w:rsidRDefault="00E60C69">
            <w:pPr>
              <w:rPr>
                <w:sz w:val="18"/>
                <w:szCs w:val="18"/>
              </w:rPr>
            </w:pPr>
            <w:r w:rsidRPr="00E60C69">
              <w:rPr>
                <w:sz w:val="18"/>
                <w:szCs w:val="18"/>
              </w:rPr>
              <w:t xml:space="preserve"> Przychody netto ze sprzedaży towarów i materiałów</w:t>
            </w:r>
          </w:p>
        </w:tc>
        <w:tc>
          <w:tcPr>
            <w:tcW w:w="1739" w:type="dxa"/>
            <w:tcBorders>
              <w:top w:val="nil"/>
              <w:left w:val="nil"/>
              <w:bottom w:val="single" w:sz="8" w:space="0" w:color="auto"/>
              <w:right w:val="single" w:sz="8" w:space="0" w:color="auto"/>
            </w:tcBorders>
            <w:shd w:val="clear" w:color="auto" w:fill="auto"/>
            <w:vAlign w:val="center"/>
            <w:hideMark/>
          </w:tcPr>
          <w:p w14:paraId="571D0E95" w14:textId="77777777" w:rsidR="00E60C69" w:rsidRDefault="00E60C69">
            <w:pPr>
              <w:jc w:val="center"/>
              <w:rPr>
                <w:i/>
                <w:iCs/>
                <w:sz w:val="20"/>
                <w:szCs w:val="20"/>
              </w:rPr>
            </w:pPr>
            <w:r>
              <w:rPr>
                <w:i/>
                <w:iCs/>
                <w:sz w:val="20"/>
                <w:szCs w:val="20"/>
              </w:rPr>
              <w:t>14 000,00</w:t>
            </w:r>
          </w:p>
        </w:tc>
        <w:tc>
          <w:tcPr>
            <w:tcW w:w="1779" w:type="dxa"/>
            <w:tcBorders>
              <w:top w:val="nil"/>
              <w:left w:val="nil"/>
              <w:bottom w:val="single" w:sz="8" w:space="0" w:color="auto"/>
              <w:right w:val="single" w:sz="8" w:space="0" w:color="auto"/>
            </w:tcBorders>
            <w:shd w:val="clear" w:color="auto" w:fill="auto"/>
            <w:vAlign w:val="center"/>
            <w:hideMark/>
          </w:tcPr>
          <w:p w14:paraId="10C54DF0" w14:textId="77777777" w:rsidR="00E60C69" w:rsidRDefault="00E60C69">
            <w:pPr>
              <w:jc w:val="center"/>
              <w:rPr>
                <w:i/>
                <w:iCs/>
                <w:sz w:val="20"/>
                <w:szCs w:val="20"/>
              </w:rPr>
            </w:pPr>
            <w:r>
              <w:rPr>
                <w:i/>
                <w:iCs/>
                <w:sz w:val="20"/>
                <w:szCs w:val="20"/>
              </w:rPr>
              <w:t>10 000,00</w:t>
            </w:r>
          </w:p>
        </w:tc>
        <w:tc>
          <w:tcPr>
            <w:tcW w:w="1779" w:type="dxa"/>
            <w:tcBorders>
              <w:top w:val="nil"/>
              <w:left w:val="nil"/>
              <w:bottom w:val="single" w:sz="8" w:space="0" w:color="auto"/>
              <w:right w:val="single" w:sz="8" w:space="0" w:color="auto"/>
            </w:tcBorders>
            <w:shd w:val="clear" w:color="auto" w:fill="auto"/>
            <w:vAlign w:val="center"/>
            <w:hideMark/>
          </w:tcPr>
          <w:p w14:paraId="7C4BA190" w14:textId="77777777" w:rsidR="00E60C69" w:rsidRDefault="00E60C69">
            <w:pPr>
              <w:jc w:val="center"/>
              <w:rPr>
                <w:i/>
                <w:iCs/>
                <w:sz w:val="20"/>
                <w:szCs w:val="20"/>
              </w:rPr>
            </w:pPr>
            <w:r>
              <w:rPr>
                <w:i/>
                <w:iCs/>
                <w:sz w:val="20"/>
                <w:szCs w:val="20"/>
              </w:rPr>
              <w:t>10 000,00</w:t>
            </w:r>
          </w:p>
        </w:tc>
      </w:tr>
      <w:tr w:rsidR="00E60C69" w14:paraId="545C83AF"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32EFA90" w14:textId="77777777" w:rsidR="00E60C69" w:rsidRPr="00E60C69" w:rsidRDefault="00E60C69">
            <w:pPr>
              <w:rPr>
                <w:b/>
                <w:bCs/>
                <w:sz w:val="18"/>
                <w:szCs w:val="18"/>
              </w:rPr>
            </w:pPr>
            <w:r w:rsidRPr="00E60C69">
              <w:rPr>
                <w:b/>
                <w:bCs/>
                <w:sz w:val="18"/>
                <w:szCs w:val="18"/>
              </w:rPr>
              <w:t>B.</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C4F380F" w14:textId="77777777" w:rsidR="00E60C69" w:rsidRPr="00E60C69" w:rsidRDefault="00E60C69">
            <w:pPr>
              <w:rPr>
                <w:b/>
                <w:bCs/>
                <w:sz w:val="18"/>
                <w:szCs w:val="18"/>
              </w:rPr>
            </w:pPr>
            <w:r w:rsidRPr="00E60C69">
              <w:rPr>
                <w:b/>
                <w:bCs/>
                <w:sz w:val="18"/>
                <w:szCs w:val="18"/>
              </w:rPr>
              <w:t xml:space="preserve"> Koszty działalności operacyjnej</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662677CE" w14:textId="77777777" w:rsidR="00E60C69" w:rsidRDefault="00E60C69">
            <w:pPr>
              <w:jc w:val="center"/>
              <w:rPr>
                <w:b/>
                <w:bCs/>
                <w:i/>
                <w:iCs/>
                <w:sz w:val="20"/>
                <w:szCs w:val="20"/>
              </w:rPr>
            </w:pPr>
            <w:r>
              <w:rPr>
                <w:b/>
                <w:bCs/>
                <w:i/>
                <w:iCs/>
                <w:sz w:val="20"/>
                <w:szCs w:val="20"/>
              </w:rPr>
              <w:t>25 549 700,00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6CCF0A4D" w14:textId="77777777" w:rsidR="00E60C69" w:rsidRDefault="00E60C69">
            <w:pPr>
              <w:jc w:val="center"/>
              <w:rPr>
                <w:b/>
                <w:bCs/>
                <w:i/>
                <w:iCs/>
                <w:sz w:val="20"/>
                <w:szCs w:val="20"/>
              </w:rPr>
            </w:pPr>
            <w:r>
              <w:rPr>
                <w:b/>
                <w:bCs/>
                <w:i/>
                <w:iCs/>
                <w:sz w:val="20"/>
                <w:szCs w:val="20"/>
              </w:rPr>
              <w:t>25 682 700,00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DCB1E76" w14:textId="77777777" w:rsidR="00E60C69" w:rsidRDefault="00E60C69">
            <w:pPr>
              <w:jc w:val="center"/>
              <w:rPr>
                <w:b/>
                <w:bCs/>
                <w:i/>
                <w:iCs/>
                <w:sz w:val="20"/>
                <w:szCs w:val="20"/>
              </w:rPr>
            </w:pPr>
            <w:r>
              <w:rPr>
                <w:b/>
                <w:bCs/>
                <w:i/>
                <w:iCs/>
                <w:sz w:val="20"/>
                <w:szCs w:val="20"/>
              </w:rPr>
              <w:t>26 032 700,00</w:t>
            </w:r>
          </w:p>
        </w:tc>
      </w:tr>
      <w:tr w:rsidR="00E60C69" w14:paraId="64D4635F"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C34C336" w14:textId="77777777" w:rsidR="00E60C69" w:rsidRPr="00E60C69" w:rsidRDefault="00E60C69">
            <w:pPr>
              <w:rPr>
                <w:sz w:val="18"/>
                <w:szCs w:val="18"/>
              </w:rPr>
            </w:pPr>
            <w:proofErr w:type="spellStart"/>
            <w:r w:rsidRPr="00E60C69">
              <w:rPr>
                <w:sz w:val="18"/>
                <w:szCs w:val="18"/>
              </w:rPr>
              <w:t>B.l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0F31EB60" w14:textId="77777777" w:rsidR="00E60C69" w:rsidRPr="00E60C69" w:rsidRDefault="00E60C69">
            <w:pPr>
              <w:rPr>
                <w:sz w:val="18"/>
                <w:szCs w:val="18"/>
              </w:rPr>
            </w:pPr>
            <w:r w:rsidRPr="00E60C69">
              <w:rPr>
                <w:sz w:val="18"/>
                <w:szCs w:val="18"/>
              </w:rPr>
              <w:t xml:space="preserve"> Amortyzacja</w:t>
            </w:r>
          </w:p>
        </w:tc>
        <w:tc>
          <w:tcPr>
            <w:tcW w:w="1739" w:type="dxa"/>
            <w:tcBorders>
              <w:top w:val="nil"/>
              <w:left w:val="nil"/>
              <w:bottom w:val="single" w:sz="8" w:space="0" w:color="auto"/>
              <w:right w:val="single" w:sz="8" w:space="0" w:color="auto"/>
            </w:tcBorders>
            <w:shd w:val="clear" w:color="auto" w:fill="auto"/>
            <w:vAlign w:val="center"/>
            <w:hideMark/>
          </w:tcPr>
          <w:p w14:paraId="091F85FD" w14:textId="77777777" w:rsidR="00E60C69" w:rsidRDefault="00E60C69">
            <w:pPr>
              <w:jc w:val="center"/>
              <w:rPr>
                <w:i/>
                <w:iCs/>
                <w:sz w:val="20"/>
                <w:szCs w:val="20"/>
              </w:rPr>
            </w:pPr>
            <w:r>
              <w:rPr>
                <w:i/>
                <w:iCs/>
                <w:sz w:val="20"/>
                <w:szCs w:val="20"/>
              </w:rPr>
              <w:t>940 000,00</w:t>
            </w:r>
          </w:p>
        </w:tc>
        <w:tc>
          <w:tcPr>
            <w:tcW w:w="1779" w:type="dxa"/>
            <w:tcBorders>
              <w:top w:val="nil"/>
              <w:left w:val="nil"/>
              <w:bottom w:val="single" w:sz="8" w:space="0" w:color="auto"/>
              <w:right w:val="single" w:sz="8" w:space="0" w:color="auto"/>
            </w:tcBorders>
            <w:shd w:val="clear" w:color="auto" w:fill="auto"/>
            <w:vAlign w:val="center"/>
            <w:hideMark/>
          </w:tcPr>
          <w:p w14:paraId="1963F2A9" w14:textId="77777777" w:rsidR="00E60C69" w:rsidRDefault="00E60C69">
            <w:pPr>
              <w:jc w:val="center"/>
              <w:rPr>
                <w:i/>
                <w:iCs/>
                <w:sz w:val="20"/>
                <w:szCs w:val="20"/>
              </w:rPr>
            </w:pPr>
            <w:r>
              <w:rPr>
                <w:i/>
                <w:iCs/>
                <w:sz w:val="20"/>
                <w:szCs w:val="20"/>
              </w:rPr>
              <w:t>850 000,00</w:t>
            </w:r>
          </w:p>
        </w:tc>
        <w:tc>
          <w:tcPr>
            <w:tcW w:w="1779" w:type="dxa"/>
            <w:tcBorders>
              <w:top w:val="nil"/>
              <w:left w:val="nil"/>
              <w:bottom w:val="single" w:sz="8" w:space="0" w:color="auto"/>
              <w:right w:val="single" w:sz="8" w:space="0" w:color="auto"/>
            </w:tcBorders>
            <w:shd w:val="clear" w:color="auto" w:fill="auto"/>
            <w:vAlign w:val="center"/>
            <w:hideMark/>
          </w:tcPr>
          <w:p w14:paraId="2A60F644" w14:textId="77777777" w:rsidR="00E60C69" w:rsidRDefault="00E60C69">
            <w:pPr>
              <w:jc w:val="center"/>
              <w:rPr>
                <w:i/>
                <w:iCs/>
                <w:sz w:val="20"/>
                <w:szCs w:val="20"/>
              </w:rPr>
            </w:pPr>
            <w:r>
              <w:rPr>
                <w:i/>
                <w:iCs/>
                <w:sz w:val="20"/>
                <w:szCs w:val="20"/>
              </w:rPr>
              <w:t>800 000,00</w:t>
            </w:r>
          </w:p>
        </w:tc>
      </w:tr>
      <w:tr w:rsidR="00E60C69" w14:paraId="0121633E"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2F51717" w14:textId="77777777" w:rsidR="00E60C69" w:rsidRPr="00E60C69" w:rsidRDefault="00E60C69">
            <w:pPr>
              <w:rPr>
                <w:sz w:val="18"/>
                <w:szCs w:val="18"/>
              </w:rPr>
            </w:pPr>
            <w:r w:rsidRPr="00E60C69">
              <w:rPr>
                <w:sz w:val="18"/>
                <w:szCs w:val="18"/>
              </w:rPr>
              <w:t>B.II.</w:t>
            </w:r>
          </w:p>
        </w:tc>
        <w:tc>
          <w:tcPr>
            <w:tcW w:w="2219" w:type="dxa"/>
            <w:tcBorders>
              <w:top w:val="nil"/>
              <w:left w:val="nil"/>
              <w:bottom w:val="single" w:sz="8" w:space="0" w:color="auto"/>
              <w:right w:val="single" w:sz="8" w:space="0" w:color="auto"/>
            </w:tcBorders>
            <w:shd w:val="clear" w:color="000000" w:fill="FFFFFF"/>
            <w:vAlign w:val="center"/>
            <w:hideMark/>
          </w:tcPr>
          <w:p w14:paraId="4F83B68E" w14:textId="77777777" w:rsidR="00E60C69" w:rsidRPr="00E60C69" w:rsidRDefault="00E60C69">
            <w:pPr>
              <w:rPr>
                <w:sz w:val="18"/>
                <w:szCs w:val="18"/>
              </w:rPr>
            </w:pPr>
            <w:r w:rsidRPr="00E60C69">
              <w:rPr>
                <w:sz w:val="18"/>
                <w:szCs w:val="18"/>
              </w:rPr>
              <w:t xml:space="preserve"> Zużycie materiałów i energii</w:t>
            </w:r>
          </w:p>
        </w:tc>
        <w:tc>
          <w:tcPr>
            <w:tcW w:w="1739" w:type="dxa"/>
            <w:tcBorders>
              <w:top w:val="nil"/>
              <w:left w:val="nil"/>
              <w:bottom w:val="single" w:sz="8" w:space="0" w:color="auto"/>
              <w:right w:val="single" w:sz="8" w:space="0" w:color="auto"/>
            </w:tcBorders>
            <w:shd w:val="clear" w:color="auto" w:fill="auto"/>
            <w:vAlign w:val="center"/>
            <w:hideMark/>
          </w:tcPr>
          <w:p w14:paraId="0AFF4054" w14:textId="77777777" w:rsidR="00E60C69" w:rsidRDefault="00E60C69">
            <w:pPr>
              <w:jc w:val="center"/>
              <w:rPr>
                <w:i/>
                <w:iCs/>
                <w:sz w:val="20"/>
                <w:szCs w:val="20"/>
              </w:rPr>
            </w:pPr>
            <w:r>
              <w:rPr>
                <w:i/>
                <w:iCs/>
                <w:sz w:val="20"/>
                <w:szCs w:val="20"/>
              </w:rPr>
              <w:t>1 610 000,00</w:t>
            </w:r>
          </w:p>
        </w:tc>
        <w:tc>
          <w:tcPr>
            <w:tcW w:w="1779" w:type="dxa"/>
            <w:tcBorders>
              <w:top w:val="nil"/>
              <w:left w:val="nil"/>
              <w:bottom w:val="single" w:sz="8" w:space="0" w:color="auto"/>
              <w:right w:val="single" w:sz="8" w:space="0" w:color="auto"/>
            </w:tcBorders>
            <w:shd w:val="clear" w:color="auto" w:fill="auto"/>
            <w:vAlign w:val="center"/>
            <w:hideMark/>
          </w:tcPr>
          <w:p w14:paraId="7D5388B7" w14:textId="77777777" w:rsidR="00E60C69" w:rsidRDefault="00E60C69">
            <w:pPr>
              <w:jc w:val="center"/>
              <w:rPr>
                <w:i/>
                <w:iCs/>
                <w:sz w:val="20"/>
                <w:szCs w:val="20"/>
              </w:rPr>
            </w:pPr>
            <w:r>
              <w:rPr>
                <w:i/>
                <w:iCs/>
                <w:sz w:val="20"/>
                <w:szCs w:val="20"/>
              </w:rPr>
              <w:t>1 630 000,00</w:t>
            </w:r>
          </w:p>
        </w:tc>
        <w:tc>
          <w:tcPr>
            <w:tcW w:w="1779" w:type="dxa"/>
            <w:tcBorders>
              <w:top w:val="nil"/>
              <w:left w:val="nil"/>
              <w:bottom w:val="single" w:sz="8" w:space="0" w:color="auto"/>
              <w:right w:val="single" w:sz="8" w:space="0" w:color="auto"/>
            </w:tcBorders>
            <w:shd w:val="clear" w:color="auto" w:fill="auto"/>
            <w:vAlign w:val="center"/>
            <w:hideMark/>
          </w:tcPr>
          <w:p w14:paraId="08B0C926" w14:textId="77777777" w:rsidR="00E60C69" w:rsidRDefault="00E60C69">
            <w:pPr>
              <w:jc w:val="center"/>
              <w:rPr>
                <w:i/>
                <w:iCs/>
                <w:sz w:val="20"/>
                <w:szCs w:val="20"/>
              </w:rPr>
            </w:pPr>
            <w:r>
              <w:rPr>
                <w:i/>
                <w:iCs/>
                <w:sz w:val="20"/>
                <w:szCs w:val="20"/>
              </w:rPr>
              <w:t>1 700 000,00</w:t>
            </w:r>
          </w:p>
        </w:tc>
      </w:tr>
      <w:tr w:rsidR="00E60C69" w14:paraId="536EEA30"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8E8E9FB" w14:textId="77777777" w:rsidR="00E60C69" w:rsidRPr="00E60C69" w:rsidRDefault="00E60C69">
            <w:pPr>
              <w:rPr>
                <w:sz w:val="18"/>
                <w:szCs w:val="18"/>
              </w:rPr>
            </w:pPr>
            <w:r w:rsidRPr="00E60C69">
              <w:rPr>
                <w:sz w:val="18"/>
                <w:szCs w:val="18"/>
              </w:rPr>
              <w:t>B.II.1</w:t>
            </w:r>
          </w:p>
        </w:tc>
        <w:tc>
          <w:tcPr>
            <w:tcW w:w="2219" w:type="dxa"/>
            <w:tcBorders>
              <w:top w:val="nil"/>
              <w:left w:val="nil"/>
              <w:bottom w:val="single" w:sz="8" w:space="0" w:color="auto"/>
              <w:right w:val="single" w:sz="8" w:space="0" w:color="auto"/>
            </w:tcBorders>
            <w:shd w:val="clear" w:color="auto" w:fill="auto"/>
            <w:vAlign w:val="center"/>
            <w:hideMark/>
          </w:tcPr>
          <w:p w14:paraId="1A6545B0" w14:textId="77777777" w:rsidR="00E60C69" w:rsidRPr="00E60C69" w:rsidRDefault="00E60C69">
            <w:pPr>
              <w:rPr>
                <w:sz w:val="18"/>
                <w:szCs w:val="18"/>
              </w:rPr>
            </w:pPr>
            <w:r w:rsidRPr="00E60C69">
              <w:rPr>
                <w:sz w:val="18"/>
                <w:szCs w:val="18"/>
              </w:rPr>
              <w:t xml:space="preserve"> Materiałów</w:t>
            </w:r>
          </w:p>
        </w:tc>
        <w:tc>
          <w:tcPr>
            <w:tcW w:w="1739" w:type="dxa"/>
            <w:tcBorders>
              <w:top w:val="nil"/>
              <w:left w:val="nil"/>
              <w:bottom w:val="single" w:sz="8" w:space="0" w:color="auto"/>
              <w:right w:val="single" w:sz="8" w:space="0" w:color="auto"/>
            </w:tcBorders>
            <w:shd w:val="clear" w:color="auto" w:fill="auto"/>
            <w:vAlign w:val="center"/>
            <w:hideMark/>
          </w:tcPr>
          <w:p w14:paraId="3A2F2790" w14:textId="77777777" w:rsidR="00E60C69" w:rsidRDefault="00E60C69">
            <w:pPr>
              <w:jc w:val="center"/>
              <w:rPr>
                <w:i/>
                <w:iCs/>
                <w:sz w:val="20"/>
                <w:szCs w:val="20"/>
              </w:rPr>
            </w:pPr>
            <w:r>
              <w:rPr>
                <w:i/>
                <w:iCs/>
                <w:sz w:val="20"/>
                <w:szCs w:val="20"/>
              </w:rPr>
              <w:t>1 415 000,00</w:t>
            </w:r>
          </w:p>
        </w:tc>
        <w:tc>
          <w:tcPr>
            <w:tcW w:w="1779" w:type="dxa"/>
            <w:tcBorders>
              <w:top w:val="nil"/>
              <w:left w:val="nil"/>
              <w:bottom w:val="single" w:sz="8" w:space="0" w:color="auto"/>
              <w:right w:val="single" w:sz="8" w:space="0" w:color="auto"/>
            </w:tcBorders>
            <w:shd w:val="clear" w:color="auto" w:fill="auto"/>
            <w:vAlign w:val="center"/>
            <w:hideMark/>
          </w:tcPr>
          <w:p w14:paraId="3E0D82C0" w14:textId="77777777" w:rsidR="00E60C69" w:rsidRDefault="00E60C69">
            <w:pPr>
              <w:jc w:val="center"/>
              <w:rPr>
                <w:i/>
                <w:iCs/>
                <w:sz w:val="20"/>
                <w:szCs w:val="20"/>
              </w:rPr>
            </w:pPr>
            <w:r>
              <w:rPr>
                <w:i/>
                <w:iCs/>
                <w:sz w:val="20"/>
                <w:szCs w:val="20"/>
              </w:rPr>
              <w:t>1 420 000,00</w:t>
            </w:r>
          </w:p>
        </w:tc>
        <w:tc>
          <w:tcPr>
            <w:tcW w:w="1779" w:type="dxa"/>
            <w:tcBorders>
              <w:top w:val="nil"/>
              <w:left w:val="nil"/>
              <w:bottom w:val="single" w:sz="8" w:space="0" w:color="auto"/>
              <w:right w:val="single" w:sz="8" w:space="0" w:color="auto"/>
            </w:tcBorders>
            <w:shd w:val="clear" w:color="auto" w:fill="auto"/>
            <w:vAlign w:val="center"/>
            <w:hideMark/>
          </w:tcPr>
          <w:p w14:paraId="275DC583" w14:textId="77777777" w:rsidR="00E60C69" w:rsidRDefault="00E60C69">
            <w:pPr>
              <w:jc w:val="center"/>
              <w:rPr>
                <w:i/>
                <w:iCs/>
                <w:sz w:val="20"/>
                <w:szCs w:val="20"/>
              </w:rPr>
            </w:pPr>
            <w:r>
              <w:rPr>
                <w:i/>
                <w:iCs/>
                <w:sz w:val="20"/>
                <w:szCs w:val="20"/>
              </w:rPr>
              <w:t>1 480 000,00</w:t>
            </w:r>
          </w:p>
        </w:tc>
      </w:tr>
      <w:tr w:rsidR="00E60C69" w14:paraId="70DF9866"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11B04BC" w14:textId="77777777" w:rsidR="00E60C69" w:rsidRPr="00E60C69" w:rsidRDefault="00E60C69">
            <w:pPr>
              <w:rPr>
                <w:sz w:val="18"/>
                <w:szCs w:val="18"/>
              </w:rPr>
            </w:pPr>
            <w:r w:rsidRPr="00E60C69">
              <w:rPr>
                <w:sz w:val="18"/>
                <w:szCs w:val="18"/>
              </w:rPr>
              <w:t>B.II.1.a.</w:t>
            </w:r>
          </w:p>
        </w:tc>
        <w:tc>
          <w:tcPr>
            <w:tcW w:w="2219" w:type="dxa"/>
            <w:tcBorders>
              <w:top w:val="nil"/>
              <w:left w:val="nil"/>
              <w:bottom w:val="single" w:sz="8" w:space="0" w:color="auto"/>
              <w:right w:val="single" w:sz="8" w:space="0" w:color="auto"/>
            </w:tcBorders>
            <w:shd w:val="clear" w:color="auto" w:fill="auto"/>
            <w:vAlign w:val="center"/>
            <w:hideMark/>
          </w:tcPr>
          <w:p w14:paraId="64917D35" w14:textId="77777777" w:rsidR="00E60C69" w:rsidRPr="00E60C69" w:rsidRDefault="00E60C69">
            <w:pPr>
              <w:rPr>
                <w:sz w:val="18"/>
                <w:szCs w:val="18"/>
              </w:rPr>
            </w:pPr>
            <w:r w:rsidRPr="00E60C69">
              <w:rPr>
                <w:sz w:val="18"/>
                <w:szCs w:val="18"/>
              </w:rPr>
              <w:t>- leków</w:t>
            </w:r>
          </w:p>
        </w:tc>
        <w:tc>
          <w:tcPr>
            <w:tcW w:w="1739" w:type="dxa"/>
            <w:tcBorders>
              <w:top w:val="nil"/>
              <w:left w:val="nil"/>
              <w:bottom w:val="single" w:sz="8" w:space="0" w:color="auto"/>
              <w:right w:val="single" w:sz="8" w:space="0" w:color="auto"/>
            </w:tcBorders>
            <w:shd w:val="clear" w:color="auto" w:fill="auto"/>
            <w:vAlign w:val="center"/>
            <w:hideMark/>
          </w:tcPr>
          <w:p w14:paraId="3C7D3D16" w14:textId="77777777" w:rsidR="00E60C69" w:rsidRDefault="00E60C69">
            <w:pPr>
              <w:jc w:val="center"/>
              <w:rPr>
                <w:i/>
                <w:iCs/>
                <w:sz w:val="20"/>
                <w:szCs w:val="20"/>
              </w:rPr>
            </w:pPr>
            <w:r>
              <w:rPr>
                <w:i/>
                <w:iCs/>
                <w:sz w:val="20"/>
                <w:szCs w:val="20"/>
              </w:rPr>
              <w:t>590 000,00</w:t>
            </w:r>
          </w:p>
        </w:tc>
        <w:tc>
          <w:tcPr>
            <w:tcW w:w="1779" w:type="dxa"/>
            <w:tcBorders>
              <w:top w:val="nil"/>
              <w:left w:val="nil"/>
              <w:bottom w:val="single" w:sz="8" w:space="0" w:color="auto"/>
              <w:right w:val="single" w:sz="8" w:space="0" w:color="auto"/>
            </w:tcBorders>
            <w:shd w:val="clear" w:color="auto" w:fill="auto"/>
            <w:vAlign w:val="center"/>
            <w:hideMark/>
          </w:tcPr>
          <w:p w14:paraId="2B9D3EE0" w14:textId="77777777" w:rsidR="00E60C69" w:rsidRDefault="00E60C69">
            <w:pPr>
              <w:jc w:val="center"/>
              <w:rPr>
                <w:i/>
                <w:iCs/>
                <w:sz w:val="20"/>
                <w:szCs w:val="20"/>
              </w:rPr>
            </w:pPr>
            <w:r>
              <w:rPr>
                <w:i/>
                <w:iCs/>
                <w:sz w:val="20"/>
                <w:szCs w:val="20"/>
              </w:rPr>
              <w:t>650 000,00</w:t>
            </w:r>
          </w:p>
        </w:tc>
        <w:tc>
          <w:tcPr>
            <w:tcW w:w="1779" w:type="dxa"/>
            <w:tcBorders>
              <w:top w:val="nil"/>
              <w:left w:val="nil"/>
              <w:bottom w:val="single" w:sz="8" w:space="0" w:color="auto"/>
              <w:right w:val="single" w:sz="8" w:space="0" w:color="auto"/>
            </w:tcBorders>
            <w:shd w:val="clear" w:color="auto" w:fill="auto"/>
            <w:vAlign w:val="center"/>
            <w:hideMark/>
          </w:tcPr>
          <w:p w14:paraId="4A81CE99" w14:textId="77777777" w:rsidR="00E60C69" w:rsidRDefault="00E60C69">
            <w:pPr>
              <w:jc w:val="center"/>
              <w:rPr>
                <w:i/>
                <w:iCs/>
                <w:sz w:val="20"/>
                <w:szCs w:val="20"/>
              </w:rPr>
            </w:pPr>
            <w:r>
              <w:rPr>
                <w:i/>
                <w:iCs/>
                <w:sz w:val="20"/>
                <w:szCs w:val="20"/>
              </w:rPr>
              <w:t>660 000,00</w:t>
            </w:r>
          </w:p>
        </w:tc>
      </w:tr>
      <w:tr w:rsidR="00E60C69" w14:paraId="0ADFB4D1"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CE67292" w14:textId="77777777" w:rsidR="00E60C69" w:rsidRPr="00E60C69" w:rsidRDefault="00E60C69">
            <w:pPr>
              <w:rPr>
                <w:sz w:val="18"/>
                <w:szCs w:val="18"/>
              </w:rPr>
            </w:pPr>
            <w:r w:rsidRPr="00E60C69">
              <w:rPr>
                <w:sz w:val="18"/>
                <w:szCs w:val="18"/>
              </w:rPr>
              <w:t>B.II.1.b.</w:t>
            </w:r>
          </w:p>
        </w:tc>
        <w:tc>
          <w:tcPr>
            <w:tcW w:w="2219" w:type="dxa"/>
            <w:tcBorders>
              <w:top w:val="nil"/>
              <w:left w:val="nil"/>
              <w:bottom w:val="single" w:sz="8" w:space="0" w:color="auto"/>
              <w:right w:val="single" w:sz="8" w:space="0" w:color="auto"/>
            </w:tcBorders>
            <w:shd w:val="clear" w:color="auto" w:fill="auto"/>
            <w:vAlign w:val="center"/>
            <w:hideMark/>
          </w:tcPr>
          <w:p w14:paraId="3FC62C12" w14:textId="77777777" w:rsidR="00E60C69" w:rsidRPr="00E60C69" w:rsidRDefault="00E60C69">
            <w:pPr>
              <w:rPr>
                <w:sz w:val="18"/>
                <w:szCs w:val="18"/>
              </w:rPr>
            </w:pPr>
            <w:r w:rsidRPr="00E60C69">
              <w:rPr>
                <w:sz w:val="18"/>
                <w:szCs w:val="18"/>
              </w:rPr>
              <w:t>- żywności</w:t>
            </w:r>
          </w:p>
        </w:tc>
        <w:tc>
          <w:tcPr>
            <w:tcW w:w="1739" w:type="dxa"/>
            <w:tcBorders>
              <w:top w:val="nil"/>
              <w:left w:val="nil"/>
              <w:bottom w:val="single" w:sz="8" w:space="0" w:color="auto"/>
              <w:right w:val="single" w:sz="8" w:space="0" w:color="auto"/>
            </w:tcBorders>
            <w:shd w:val="clear" w:color="auto" w:fill="auto"/>
            <w:vAlign w:val="center"/>
            <w:hideMark/>
          </w:tcPr>
          <w:p w14:paraId="309590FF"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4E8540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0FECCF77" w14:textId="77777777" w:rsidR="00E60C69" w:rsidRDefault="00E60C69">
            <w:pPr>
              <w:jc w:val="center"/>
              <w:rPr>
                <w:i/>
                <w:iCs/>
                <w:sz w:val="20"/>
                <w:szCs w:val="20"/>
              </w:rPr>
            </w:pPr>
            <w:r>
              <w:rPr>
                <w:i/>
                <w:iCs/>
                <w:sz w:val="20"/>
                <w:szCs w:val="20"/>
              </w:rPr>
              <w:t>0,00</w:t>
            </w:r>
          </w:p>
        </w:tc>
      </w:tr>
      <w:tr w:rsidR="00E60C69" w14:paraId="0B7B2B01"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3286C53" w14:textId="77777777" w:rsidR="00E60C69" w:rsidRPr="00E60C69" w:rsidRDefault="00E60C69">
            <w:pPr>
              <w:rPr>
                <w:sz w:val="18"/>
                <w:szCs w:val="18"/>
              </w:rPr>
            </w:pPr>
            <w:r w:rsidRPr="00E60C69">
              <w:rPr>
                <w:sz w:val="18"/>
                <w:szCs w:val="18"/>
              </w:rPr>
              <w:t>B.II.1.c.</w:t>
            </w:r>
          </w:p>
        </w:tc>
        <w:tc>
          <w:tcPr>
            <w:tcW w:w="2219" w:type="dxa"/>
            <w:tcBorders>
              <w:top w:val="nil"/>
              <w:left w:val="nil"/>
              <w:bottom w:val="single" w:sz="8" w:space="0" w:color="auto"/>
              <w:right w:val="single" w:sz="8" w:space="0" w:color="auto"/>
            </w:tcBorders>
            <w:shd w:val="clear" w:color="auto" w:fill="auto"/>
            <w:vAlign w:val="center"/>
            <w:hideMark/>
          </w:tcPr>
          <w:p w14:paraId="00D0810D" w14:textId="77777777" w:rsidR="00E60C69" w:rsidRPr="00E60C69" w:rsidRDefault="00E60C69">
            <w:pPr>
              <w:rPr>
                <w:sz w:val="18"/>
                <w:szCs w:val="18"/>
              </w:rPr>
            </w:pPr>
            <w:r w:rsidRPr="00E60C69">
              <w:rPr>
                <w:sz w:val="18"/>
                <w:szCs w:val="18"/>
              </w:rPr>
              <w:t>- sprzętu jednorazowego</w:t>
            </w:r>
          </w:p>
        </w:tc>
        <w:tc>
          <w:tcPr>
            <w:tcW w:w="1739" w:type="dxa"/>
            <w:tcBorders>
              <w:top w:val="nil"/>
              <w:left w:val="nil"/>
              <w:bottom w:val="single" w:sz="8" w:space="0" w:color="auto"/>
              <w:right w:val="single" w:sz="8" w:space="0" w:color="auto"/>
            </w:tcBorders>
            <w:shd w:val="clear" w:color="auto" w:fill="auto"/>
            <w:vAlign w:val="center"/>
            <w:hideMark/>
          </w:tcPr>
          <w:p w14:paraId="59F37B7B" w14:textId="77777777" w:rsidR="00E60C69" w:rsidRDefault="00E60C69">
            <w:pPr>
              <w:jc w:val="center"/>
              <w:rPr>
                <w:i/>
                <w:iCs/>
                <w:sz w:val="20"/>
                <w:szCs w:val="20"/>
              </w:rPr>
            </w:pPr>
            <w:r>
              <w:rPr>
                <w:i/>
                <w:iCs/>
                <w:sz w:val="20"/>
                <w:szCs w:val="20"/>
              </w:rPr>
              <w:t>190 000,00</w:t>
            </w:r>
          </w:p>
        </w:tc>
        <w:tc>
          <w:tcPr>
            <w:tcW w:w="1779" w:type="dxa"/>
            <w:tcBorders>
              <w:top w:val="nil"/>
              <w:left w:val="nil"/>
              <w:bottom w:val="single" w:sz="8" w:space="0" w:color="auto"/>
              <w:right w:val="single" w:sz="8" w:space="0" w:color="auto"/>
            </w:tcBorders>
            <w:shd w:val="clear" w:color="auto" w:fill="auto"/>
            <w:vAlign w:val="center"/>
            <w:hideMark/>
          </w:tcPr>
          <w:p w14:paraId="6CD4FA85" w14:textId="77777777" w:rsidR="00E60C69" w:rsidRDefault="00E60C69">
            <w:pPr>
              <w:jc w:val="center"/>
              <w:rPr>
                <w:i/>
                <w:iCs/>
                <w:sz w:val="20"/>
                <w:szCs w:val="20"/>
              </w:rPr>
            </w:pPr>
            <w:r>
              <w:rPr>
                <w:i/>
                <w:iCs/>
                <w:sz w:val="20"/>
                <w:szCs w:val="20"/>
              </w:rPr>
              <w:t>190 000,00</w:t>
            </w:r>
          </w:p>
        </w:tc>
        <w:tc>
          <w:tcPr>
            <w:tcW w:w="1779" w:type="dxa"/>
            <w:tcBorders>
              <w:top w:val="nil"/>
              <w:left w:val="nil"/>
              <w:bottom w:val="single" w:sz="8" w:space="0" w:color="auto"/>
              <w:right w:val="single" w:sz="8" w:space="0" w:color="auto"/>
            </w:tcBorders>
            <w:shd w:val="clear" w:color="auto" w:fill="auto"/>
            <w:vAlign w:val="center"/>
            <w:hideMark/>
          </w:tcPr>
          <w:p w14:paraId="419BA7A5" w14:textId="77777777" w:rsidR="00E60C69" w:rsidRDefault="00E60C69">
            <w:pPr>
              <w:jc w:val="center"/>
              <w:rPr>
                <w:i/>
                <w:iCs/>
                <w:sz w:val="20"/>
                <w:szCs w:val="20"/>
              </w:rPr>
            </w:pPr>
            <w:r>
              <w:rPr>
                <w:i/>
                <w:iCs/>
                <w:sz w:val="20"/>
                <w:szCs w:val="20"/>
              </w:rPr>
              <w:t>200 000,00</w:t>
            </w:r>
          </w:p>
        </w:tc>
      </w:tr>
      <w:tr w:rsidR="00E60C69" w14:paraId="7E6080FF"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F2D7279" w14:textId="77777777" w:rsidR="00E60C69" w:rsidRPr="00E60C69" w:rsidRDefault="00E60C69">
            <w:pPr>
              <w:rPr>
                <w:sz w:val="18"/>
                <w:szCs w:val="18"/>
              </w:rPr>
            </w:pPr>
            <w:r w:rsidRPr="00E60C69">
              <w:rPr>
                <w:sz w:val="18"/>
                <w:szCs w:val="18"/>
              </w:rPr>
              <w:t>B.II.1.d.</w:t>
            </w:r>
          </w:p>
        </w:tc>
        <w:tc>
          <w:tcPr>
            <w:tcW w:w="2219" w:type="dxa"/>
            <w:tcBorders>
              <w:top w:val="nil"/>
              <w:left w:val="nil"/>
              <w:bottom w:val="single" w:sz="8" w:space="0" w:color="auto"/>
              <w:right w:val="single" w:sz="8" w:space="0" w:color="auto"/>
            </w:tcBorders>
            <w:shd w:val="clear" w:color="auto" w:fill="auto"/>
            <w:vAlign w:val="center"/>
            <w:hideMark/>
          </w:tcPr>
          <w:p w14:paraId="5D8D4CC5" w14:textId="77777777" w:rsidR="00E60C69" w:rsidRPr="00E60C69" w:rsidRDefault="00E60C69">
            <w:pPr>
              <w:rPr>
                <w:sz w:val="18"/>
                <w:szCs w:val="18"/>
              </w:rPr>
            </w:pPr>
            <w:r w:rsidRPr="00E60C69">
              <w:rPr>
                <w:sz w:val="18"/>
                <w:szCs w:val="18"/>
              </w:rPr>
              <w:t>- odczynników chemicznych i materiałów diagnostycznych</w:t>
            </w:r>
          </w:p>
        </w:tc>
        <w:tc>
          <w:tcPr>
            <w:tcW w:w="1739" w:type="dxa"/>
            <w:tcBorders>
              <w:top w:val="nil"/>
              <w:left w:val="nil"/>
              <w:bottom w:val="single" w:sz="8" w:space="0" w:color="auto"/>
              <w:right w:val="single" w:sz="8" w:space="0" w:color="auto"/>
            </w:tcBorders>
            <w:shd w:val="clear" w:color="auto" w:fill="auto"/>
            <w:vAlign w:val="center"/>
            <w:hideMark/>
          </w:tcPr>
          <w:p w14:paraId="10C6FFFB" w14:textId="77777777" w:rsidR="00E60C69" w:rsidRDefault="00E60C69">
            <w:pPr>
              <w:jc w:val="center"/>
              <w:rPr>
                <w:i/>
                <w:iCs/>
                <w:sz w:val="20"/>
                <w:szCs w:val="20"/>
              </w:rPr>
            </w:pPr>
            <w:r>
              <w:rPr>
                <w:i/>
                <w:iCs/>
                <w:sz w:val="20"/>
                <w:szCs w:val="20"/>
              </w:rPr>
              <w:t>290 000,00</w:t>
            </w:r>
          </w:p>
        </w:tc>
        <w:tc>
          <w:tcPr>
            <w:tcW w:w="1779" w:type="dxa"/>
            <w:tcBorders>
              <w:top w:val="nil"/>
              <w:left w:val="nil"/>
              <w:bottom w:val="single" w:sz="8" w:space="0" w:color="auto"/>
              <w:right w:val="single" w:sz="8" w:space="0" w:color="auto"/>
            </w:tcBorders>
            <w:shd w:val="clear" w:color="auto" w:fill="auto"/>
            <w:vAlign w:val="center"/>
            <w:hideMark/>
          </w:tcPr>
          <w:p w14:paraId="3D56EE91" w14:textId="77777777" w:rsidR="00E60C69" w:rsidRDefault="00E60C69">
            <w:pPr>
              <w:jc w:val="center"/>
              <w:rPr>
                <w:i/>
                <w:iCs/>
                <w:sz w:val="20"/>
                <w:szCs w:val="20"/>
              </w:rPr>
            </w:pPr>
            <w:r>
              <w:rPr>
                <w:i/>
                <w:iCs/>
                <w:sz w:val="20"/>
                <w:szCs w:val="20"/>
              </w:rPr>
              <w:t>200 000,00</w:t>
            </w:r>
          </w:p>
        </w:tc>
        <w:tc>
          <w:tcPr>
            <w:tcW w:w="1779" w:type="dxa"/>
            <w:tcBorders>
              <w:top w:val="nil"/>
              <w:left w:val="nil"/>
              <w:bottom w:val="single" w:sz="8" w:space="0" w:color="auto"/>
              <w:right w:val="single" w:sz="8" w:space="0" w:color="auto"/>
            </w:tcBorders>
            <w:shd w:val="clear" w:color="auto" w:fill="auto"/>
            <w:vAlign w:val="center"/>
            <w:hideMark/>
          </w:tcPr>
          <w:p w14:paraId="4B0AF4DC" w14:textId="77777777" w:rsidR="00E60C69" w:rsidRDefault="00E60C69">
            <w:pPr>
              <w:jc w:val="center"/>
              <w:rPr>
                <w:i/>
                <w:iCs/>
                <w:sz w:val="20"/>
                <w:szCs w:val="20"/>
              </w:rPr>
            </w:pPr>
            <w:r>
              <w:rPr>
                <w:i/>
                <w:iCs/>
                <w:sz w:val="20"/>
                <w:szCs w:val="20"/>
              </w:rPr>
              <w:t>210 000,00</w:t>
            </w:r>
          </w:p>
        </w:tc>
      </w:tr>
      <w:tr w:rsidR="00E60C69" w14:paraId="13648F76"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741B81D" w14:textId="77777777" w:rsidR="00E60C69" w:rsidRPr="00E60C69" w:rsidRDefault="00E60C69">
            <w:pPr>
              <w:rPr>
                <w:sz w:val="18"/>
                <w:szCs w:val="18"/>
              </w:rPr>
            </w:pPr>
            <w:r w:rsidRPr="00E60C69">
              <w:rPr>
                <w:sz w:val="18"/>
                <w:szCs w:val="18"/>
              </w:rPr>
              <w:t>B.II.1.e.</w:t>
            </w:r>
          </w:p>
        </w:tc>
        <w:tc>
          <w:tcPr>
            <w:tcW w:w="2219" w:type="dxa"/>
            <w:tcBorders>
              <w:top w:val="nil"/>
              <w:left w:val="nil"/>
              <w:bottom w:val="single" w:sz="8" w:space="0" w:color="auto"/>
              <w:right w:val="single" w:sz="8" w:space="0" w:color="auto"/>
            </w:tcBorders>
            <w:shd w:val="clear" w:color="auto" w:fill="auto"/>
            <w:vAlign w:val="center"/>
            <w:hideMark/>
          </w:tcPr>
          <w:p w14:paraId="0F410595" w14:textId="77777777" w:rsidR="00E60C69" w:rsidRPr="00E60C69" w:rsidRDefault="00E60C69">
            <w:pPr>
              <w:rPr>
                <w:sz w:val="18"/>
                <w:szCs w:val="18"/>
              </w:rPr>
            </w:pPr>
            <w:r w:rsidRPr="00E60C69">
              <w:rPr>
                <w:sz w:val="18"/>
                <w:szCs w:val="18"/>
              </w:rPr>
              <w:t>- paliwa (gaz)</w:t>
            </w:r>
          </w:p>
        </w:tc>
        <w:tc>
          <w:tcPr>
            <w:tcW w:w="1739" w:type="dxa"/>
            <w:tcBorders>
              <w:top w:val="nil"/>
              <w:left w:val="nil"/>
              <w:bottom w:val="single" w:sz="8" w:space="0" w:color="auto"/>
              <w:right w:val="single" w:sz="8" w:space="0" w:color="auto"/>
            </w:tcBorders>
            <w:shd w:val="clear" w:color="auto" w:fill="auto"/>
            <w:vAlign w:val="center"/>
            <w:hideMark/>
          </w:tcPr>
          <w:p w14:paraId="4C7FDED3" w14:textId="77777777" w:rsidR="00E60C69" w:rsidRDefault="00E60C69">
            <w:pPr>
              <w:jc w:val="center"/>
              <w:rPr>
                <w:i/>
                <w:iCs/>
                <w:sz w:val="20"/>
                <w:szCs w:val="20"/>
              </w:rPr>
            </w:pPr>
            <w:r>
              <w:rPr>
                <w:i/>
                <w:iCs/>
                <w:sz w:val="20"/>
                <w:szCs w:val="20"/>
              </w:rPr>
              <w:t>235 000,00</w:t>
            </w:r>
          </w:p>
        </w:tc>
        <w:tc>
          <w:tcPr>
            <w:tcW w:w="1779" w:type="dxa"/>
            <w:tcBorders>
              <w:top w:val="nil"/>
              <w:left w:val="nil"/>
              <w:bottom w:val="single" w:sz="8" w:space="0" w:color="auto"/>
              <w:right w:val="single" w:sz="8" w:space="0" w:color="auto"/>
            </w:tcBorders>
            <w:shd w:val="clear" w:color="auto" w:fill="auto"/>
            <w:vAlign w:val="center"/>
            <w:hideMark/>
          </w:tcPr>
          <w:p w14:paraId="6094193F" w14:textId="77777777" w:rsidR="00E60C69" w:rsidRDefault="00E60C69">
            <w:pPr>
              <w:jc w:val="center"/>
              <w:rPr>
                <w:i/>
                <w:iCs/>
                <w:sz w:val="20"/>
                <w:szCs w:val="20"/>
              </w:rPr>
            </w:pPr>
            <w:r>
              <w:rPr>
                <w:i/>
                <w:iCs/>
                <w:sz w:val="20"/>
                <w:szCs w:val="20"/>
              </w:rPr>
              <w:t>250 000,00</w:t>
            </w:r>
          </w:p>
        </w:tc>
        <w:tc>
          <w:tcPr>
            <w:tcW w:w="1779" w:type="dxa"/>
            <w:tcBorders>
              <w:top w:val="nil"/>
              <w:left w:val="nil"/>
              <w:bottom w:val="single" w:sz="8" w:space="0" w:color="auto"/>
              <w:right w:val="single" w:sz="8" w:space="0" w:color="auto"/>
            </w:tcBorders>
            <w:shd w:val="clear" w:color="auto" w:fill="auto"/>
            <w:vAlign w:val="center"/>
            <w:hideMark/>
          </w:tcPr>
          <w:p w14:paraId="2C996280" w14:textId="77777777" w:rsidR="00E60C69" w:rsidRDefault="00E60C69">
            <w:pPr>
              <w:jc w:val="center"/>
              <w:rPr>
                <w:i/>
                <w:iCs/>
                <w:sz w:val="20"/>
                <w:szCs w:val="20"/>
              </w:rPr>
            </w:pPr>
            <w:r>
              <w:rPr>
                <w:i/>
                <w:iCs/>
                <w:sz w:val="20"/>
                <w:szCs w:val="20"/>
              </w:rPr>
              <w:t>260 000,00</w:t>
            </w:r>
          </w:p>
        </w:tc>
      </w:tr>
      <w:tr w:rsidR="00E60C69" w14:paraId="57564BB0"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3E055DF" w14:textId="77777777" w:rsidR="00E60C69" w:rsidRPr="00E60C69" w:rsidRDefault="00E60C69">
            <w:pPr>
              <w:rPr>
                <w:sz w:val="18"/>
                <w:szCs w:val="18"/>
              </w:rPr>
            </w:pPr>
            <w:r w:rsidRPr="00E60C69">
              <w:rPr>
                <w:sz w:val="18"/>
                <w:szCs w:val="18"/>
              </w:rPr>
              <w:t>B.II.1.f.</w:t>
            </w:r>
          </w:p>
        </w:tc>
        <w:tc>
          <w:tcPr>
            <w:tcW w:w="2219" w:type="dxa"/>
            <w:tcBorders>
              <w:top w:val="nil"/>
              <w:left w:val="nil"/>
              <w:bottom w:val="single" w:sz="8" w:space="0" w:color="auto"/>
              <w:right w:val="single" w:sz="8" w:space="0" w:color="auto"/>
            </w:tcBorders>
            <w:shd w:val="clear" w:color="auto" w:fill="auto"/>
            <w:vAlign w:val="center"/>
            <w:hideMark/>
          </w:tcPr>
          <w:p w14:paraId="204B01BD" w14:textId="77777777" w:rsidR="00E60C69" w:rsidRPr="00E60C69" w:rsidRDefault="00E60C69">
            <w:pPr>
              <w:rPr>
                <w:sz w:val="18"/>
                <w:szCs w:val="18"/>
              </w:rPr>
            </w:pPr>
            <w:r w:rsidRPr="00E60C69">
              <w:rPr>
                <w:sz w:val="18"/>
                <w:szCs w:val="18"/>
              </w:rPr>
              <w:t>- pozostałe</w:t>
            </w:r>
          </w:p>
        </w:tc>
        <w:tc>
          <w:tcPr>
            <w:tcW w:w="1739" w:type="dxa"/>
            <w:tcBorders>
              <w:top w:val="nil"/>
              <w:left w:val="nil"/>
              <w:bottom w:val="single" w:sz="8" w:space="0" w:color="auto"/>
              <w:right w:val="single" w:sz="8" w:space="0" w:color="auto"/>
            </w:tcBorders>
            <w:shd w:val="clear" w:color="auto" w:fill="auto"/>
            <w:vAlign w:val="center"/>
            <w:hideMark/>
          </w:tcPr>
          <w:p w14:paraId="788E6C33" w14:textId="77777777" w:rsidR="00E60C69" w:rsidRDefault="00E60C69">
            <w:pPr>
              <w:jc w:val="center"/>
              <w:rPr>
                <w:i/>
                <w:iCs/>
                <w:sz w:val="20"/>
                <w:szCs w:val="20"/>
              </w:rPr>
            </w:pPr>
            <w:r>
              <w:rPr>
                <w:i/>
                <w:iCs/>
                <w:sz w:val="20"/>
                <w:szCs w:val="20"/>
              </w:rPr>
              <w:t>110 000,00</w:t>
            </w:r>
          </w:p>
        </w:tc>
        <w:tc>
          <w:tcPr>
            <w:tcW w:w="1779" w:type="dxa"/>
            <w:tcBorders>
              <w:top w:val="nil"/>
              <w:left w:val="nil"/>
              <w:bottom w:val="single" w:sz="8" w:space="0" w:color="auto"/>
              <w:right w:val="single" w:sz="8" w:space="0" w:color="auto"/>
            </w:tcBorders>
            <w:shd w:val="clear" w:color="auto" w:fill="auto"/>
            <w:vAlign w:val="center"/>
            <w:hideMark/>
          </w:tcPr>
          <w:p w14:paraId="0AD9D7BE" w14:textId="77777777" w:rsidR="00E60C69" w:rsidRDefault="00E60C69">
            <w:pPr>
              <w:jc w:val="center"/>
              <w:rPr>
                <w:i/>
                <w:iCs/>
                <w:sz w:val="20"/>
                <w:szCs w:val="20"/>
              </w:rPr>
            </w:pPr>
            <w:r>
              <w:rPr>
                <w:i/>
                <w:iCs/>
                <w:sz w:val="20"/>
                <w:szCs w:val="20"/>
              </w:rPr>
              <w:t>130 000,00</w:t>
            </w:r>
          </w:p>
        </w:tc>
        <w:tc>
          <w:tcPr>
            <w:tcW w:w="1779" w:type="dxa"/>
            <w:tcBorders>
              <w:top w:val="nil"/>
              <w:left w:val="nil"/>
              <w:bottom w:val="single" w:sz="8" w:space="0" w:color="auto"/>
              <w:right w:val="single" w:sz="8" w:space="0" w:color="auto"/>
            </w:tcBorders>
            <w:shd w:val="clear" w:color="auto" w:fill="auto"/>
            <w:vAlign w:val="center"/>
            <w:hideMark/>
          </w:tcPr>
          <w:p w14:paraId="62364733" w14:textId="77777777" w:rsidR="00E60C69" w:rsidRDefault="00E60C69">
            <w:pPr>
              <w:jc w:val="center"/>
              <w:rPr>
                <w:i/>
                <w:iCs/>
                <w:sz w:val="20"/>
                <w:szCs w:val="20"/>
              </w:rPr>
            </w:pPr>
            <w:r>
              <w:rPr>
                <w:i/>
                <w:iCs/>
                <w:sz w:val="20"/>
                <w:szCs w:val="20"/>
              </w:rPr>
              <w:t>150 000,00</w:t>
            </w:r>
          </w:p>
        </w:tc>
      </w:tr>
      <w:tr w:rsidR="00E60C69" w14:paraId="3C35D737"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4A288D0" w14:textId="77777777" w:rsidR="00E60C69" w:rsidRPr="00E60C69" w:rsidRDefault="00E60C69">
            <w:pPr>
              <w:rPr>
                <w:sz w:val="18"/>
                <w:szCs w:val="18"/>
              </w:rPr>
            </w:pPr>
            <w:r w:rsidRPr="00E60C69">
              <w:rPr>
                <w:sz w:val="18"/>
                <w:szCs w:val="18"/>
              </w:rPr>
              <w:t>B.II.2.</w:t>
            </w:r>
          </w:p>
        </w:tc>
        <w:tc>
          <w:tcPr>
            <w:tcW w:w="2219" w:type="dxa"/>
            <w:tcBorders>
              <w:top w:val="nil"/>
              <w:left w:val="nil"/>
              <w:bottom w:val="single" w:sz="8" w:space="0" w:color="auto"/>
              <w:right w:val="single" w:sz="8" w:space="0" w:color="auto"/>
            </w:tcBorders>
            <w:shd w:val="clear" w:color="auto" w:fill="auto"/>
            <w:vAlign w:val="center"/>
            <w:hideMark/>
          </w:tcPr>
          <w:p w14:paraId="0A67604B" w14:textId="77777777" w:rsidR="00E60C69" w:rsidRPr="00E60C69" w:rsidRDefault="00E60C69">
            <w:pPr>
              <w:rPr>
                <w:sz w:val="18"/>
                <w:szCs w:val="18"/>
              </w:rPr>
            </w:pPr>
            <w:r w:rsidRPr="00E60C69">
              <w:rPr>
                <w:sz w:val="18"/>
                <w:szCs w:val="18"/>
              </w:rPr>
              <w:t>Energii</w:t>
            </w:r>
          </w:p>
        </w:tc>
        <w:tc>
          <w:tcPr>
            <w:tcW w:w="1739" w:type="dxa"/>
            <w:tcBorders>
              <w:top w:val="nil"/>
              <w:left w:val="nil"/>
              <w:bottom w:val="single" w:sz="8" w:space="0" w:color="auto"/>
              <w:right w:val="single" w:sz="8" w:space="0" w:color="auto"/>
            </w:tcBorders>
            <w:shd w:val="clear" w:color="auto" w:fill="auto"/>
            <w:vAlign w:val="center"/>
            <w:hideMark/>
          </w:tcPr>
          <w:p w14:paraId="3AE5D0B9" w14:textId="77777777" w:rsidR="00E60C69" w:rsidRDefault="00E60C69">
            <w:pPr>
              <w:jc w:val="center"/>
              <w:rPr>
                <w:i/>
                <w:iCs/>
                <w:sz w:val="20"/>
                <w:szCs w:val="20"/>
              </w:rPr>
            </w:pPr>
            <w:r>
              <w:rPr>
                <w:i/>
                <w:iCs/>
                <w:sz w:val="20"/>
                <w:szCs w:val="20"/>
              </w:rPr>
              <w:t>195 000,00</w:t>
            </w:r>
          </w:p>
        </w:tc>
        <w:tc>
          <w:tcPr>
            <w:tcW w:w="1779" w:type="dxa"/>
            <w:tcBorders>
              <w:top w:val="nil"/>
              <w:left w:val="nil"/>
              <w:bottom w:val="single" w:sz="8" w:space="0" w:color="auto"/>
              <w:right w:val="single" w:sz="8" w:space="0" w:color="auto"/>
            </w:tcBorders>
            <w:shd w:val="clear" w:color="auto" w:fill="auto"/>
            <w:vAlign w:val="center"/>
            <w:hideMark/>
          </w:tcPr>
          <w:p w14:paraId="1D851AE2" w14:textId="77777777" w:rsidR="00E60C69" w:rsidRDefault="00E60C69">
            <w:pPr>
              <w:jc w:val="center"/>
              <w:rPr>
                <w:i/>
                <w:iCs/>
                <w:sz w:val="20"/>
                <w:szCs w:val="20"/>
              </w:rPr>
            </w:pPr>
            <w:r>
              <w:rPr>
                <w:i/>
                <w:iCs/>
                <w:sz w:val="20"/>
                <w:szCs w:val="20"/>
              </w:rPr>
              <w:t>210 000,00</w:t>
            </w:r>
          </w:p>
        </w:tc>
        <w:tc>
          <w:tcPr>
            <w:tcW w:w="1779" w:type="dxa"/>
            <w:tcBorders>
              <w:top w:val="nil"/>
              <w:left w:val="nil"/>
              <w:bottom w:val="single" w:sz="8" w:space="0" w:color="auto"/>
              <w:right w:val="single" w:sz="8" w:space="0" w:color="auto"/>
            </w:tcBorders>
            <w:shd w:val="clear" w:color="auto" w:fill="auto"/>
            <w:vAlign w:val="center"/>
            <w:hideMark/>
          </w:tcPr>
          <w:p w14:paraId="16650321" w14:textId="77777777" w:rsidR="00E60C69" w:rsidRDefault="00E60C69">
            <w:pPr>
              <w:jc w:val="center"/>
              <w:rPr>
                <w:i/>
                <w:iCs/>
                <w:sz w:val="20"/>
                <w:szCs w:val="20"/>
              </w:rPr>
            </w:pPr>
            <w:r>
              <w:rPr>
                <w:i/>
                <w:iCs/>
                <w:sz w:val="20"/>
                <w:szCs w:val="20"/>
              </w:rPr>
              <w:t>220 000,00</w:t>
            </w:r>
          </w:p>
        </w:tc>
      </w:tr>
      <w:tr w:rsidR="00E60C69" w14:paraId="20B62B9C"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88E24BB" w14:textId="77777777" w:rsidR="00E60C69" w:rsidRPr="00E60C69" w:rsidRDefault="00E60C69">
            <w:pPr>
              <w:rPr>
                <w:sz w:val="18"/>
                <w:szCs w:val="18"/>
              </w:rPr>
            </w:pPr>
            <w:r w:rsidRPr="00E60C69">
              <w:rPr>
                <w:sz w:val="18"/>
                <w:szCs w:val="18"/>
              </w:rPr>
              <w:t>B.II.2.a</w:t>
            </w:r>
          </w:p>
        </w:tc>
        <w:tc>
          <w:tcPr>
            <w:tcW w:w="2219" w:type="dxa"/>
            <w:tcBorders>
              <w:top w:val="nil"/>
              <w:left w:val="nil"/>
              <w:bottom w:val="single" w:sz="8" w:space="0" w:color="auto"/>
              <w:right w:val="single" w:sz="8" w:space="0" w:color="auto"/>
            </w:tcBorders>
            <w:shd w:val="clear" w:color="auto" w:fill="auto"/>
            <w:vAlign w:val="center"/>
            <w:hideMark/>
          </w:tcPr>
          <w:p w14:paraId="00240C47" w14:textId="77777777" w:rsidR="00E60C69" w:rsidRPr="00E60C69" w:rsidRDefault="00E60C69">
            <w:pPr>
              <w:rPr>
                <w:sz w:val="18"/>
                <w:szCs w:val="18"/>
              </w:rPr>
            </w:pPr>
            <w:r w:rsidRPr="00E60C69">
              <w:rPr>
                <w:sz w:val="18"/>
                <w:szCs w:val="18"/>
              </w:rPr>
              <w:t>- elektrycznej</w:t>
            </w:r>
          </w:p>
        </w:tc>
        <w:tc>
          <w:tcPr>
            <w:tcW w:w="1739" w:type="dxa"/>
            <w:tcBorders>
              <w:top w:val="nil"/>
              <w:left w:val="nil"/>
              <w:bottom w:val="single" w:sz="8" w:space="0" w:color="auto"/>
              <w:right w:val="single" w:sz="8" w:space="0" w:color="auto"/>
            </w:tcBorders>
            <w:shd w:val="clear" w:color="auto" w:fill="auto"/>
            <w:vAlign w:val="center"/>
            <w:hideMark/>
          </w:tcPr>
          <w:p w14:paraId="01F7BA77" w14:textId="77777777" w:rsidR="00E60C69" w:rsidRDefault="00E60C69">
            <w:pPr>
              <w:jc w:val="center"/>
              <w:rPr>
                <w:i/>
                <w:iCs/>
                <w:sz w:val="20"/>
                <w:szCs w:val="20"/>
              </w:rPr>
            </w:pPr>
            <w:r>
              <w:rPr>
                <w:i/>
                <w:iCs/>
                <w:sz w:val="20"/>
                <w:szCs w:val="20"/>
              </w:rPr>
              <w:t>195 000,00</w:t>
            </w:r>
          </w:p>
        </w:tc>
        <w:tc>
          <w:tcPr>
            <w:tcW w:w="1779" w:type="dxa"/>
            <w:tcBorders>
              <w:top w:val="nil"/>
              <w:left w:val="nil"/>
              <w:bottom w:val="single" w:sz="8" w:space="0" w:color="auto"/>
              <w:right w:val="single" w:sz="8" w:space="0" w:color="auto"/>
            </w:tcBorders>
            <w:shd w:val="clear" w:color="auto" w:fill="auto"/>
            <w:vAlign w:val="center"/>
            <w:hideMark/>
          </w:tcPr>
          <w:p w14:paraId="17B92354" w14:textId="77777777" w:rsidR="00E60C69" w:rsidRDefault="00E60C69">
            <w:pPr>
              <w:jc w:val="center"/>
              <w:rPr>
                <w:i/>
                <w:iCs/>
                <w:sz w:val="20"/>
                <w:szCs w:val="20"/>
              </w:rPr>
            </w:pPr>
            <w:r>
              <w:rPr>
                <w:i/>
                <w:iCs/>
                <w:sz w:val="20"/>
                <w:szCs w:val="20"/>
              </w:rPr>
              <w:t>210 000,00</w:t>
            </w:r>
          </w:p>
        </w:tc>
        <w:tc>
          <w:tcPr>
            <w:tcW w:w="1779" w:type="dxa"/>
            <w:tcBorders>
              <w:top w:val="nil"/>
              <w:left w:val="nil"/>
              <w:bottom w:val="single" w:sz="8" w:space="0" w:color="auto"/>
              <w:right w:val="single" w:sz="8" w:space="0" w:color="auto"/>
            </w:tcBorders>
            <w:shd w:val="clear" w:color="auto" w:fill="auto"/>
            <w:vAlign w:val="center"/>
            <w:hideMark/>
          </w:tcPr>
          <w:p w14:paraId="348D02EE" w14:textId="77777777" w:rsidR="00E60C69" w:rsidRDefault="00E60C69">
            <w:pPr>
              <w:jc w:val="center"/>
              <w:rPr>
                <w:i/>
                <w:iCs/>
                <w:sz w:val="20"/>
                <w:szCs w:val="20"/>
              </w:rPr>
            </w:pPr>
            <w:r>
              <w:rPr>
                <w:i/>
                <w:iCs/>
                <w:sz w:val="20"/>
                <w:szCs w:val="20"/>
              </w:rPr>
              <w:t>220 000,00</w:t>
            </w:r>
          </w:p>
        </w:tc>
      </w:tr>
      <w:tr w:rsidR="00E60C69" w14:paraId="3583F74B"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7B3B1EA" w14:textId="77777777" w:rsidR="00E60C69" w:rsidRPr="00E60C69" w:rsidRDefault="00E60C69">
            <w:pPr>
              <w:rPr>
                <w:sz w:val="18"/>
                <w:szCs w:val="18"/>
              </w:rPr>
            </w:pPr>
            <w:r w:rsidRPr="00E60C69">
              <w:rPr>
                <w:sz w:val="18"/>
                <w:szCs w:val="18"/>
              </w:rPr>
              <w:t>B.II.2.b.</w:t>
            </w:r>
          </w:p>
        </w:tc>
        <w:tc>
          <w:tcPr>
            <w:tcW w:w="2219" w:type="dxa"/>
            <w:tcBorders>
              <w:top w:val="nil"/>
              <w:left w:val="nil"/>
              <w:bottom w:val="single" w:sz="8" w:space="0" w:color="auto"/>
              <w:right w:val="single" w:sz="8" w:space="0" w:color="auto"/>
            </w:tcBorders>
            <w:shd w:val="clear" w:color="auto" w:fill="auto"/>
            <w:vAlign w:val="center"/>
            <w:hideMark/>
          </w:tcPr>
          <w:p w14:paraId="13BD1C9D" w14:textId="77777777" w:rsidR="00E60C69" w:rsidRPr="00E60C69" w:rsidRDefault="00E60C69">
            <w:pPr>
              <w:rPr>
                <w:sz w:val="18"/>
                <w:szCs w:val="18"/>
              </w:rPr>
            </w:pPr>
            <w:r w:rsidRPr="00E60C69">
              <w:rPr>
                <w:sz w:val="18"/>
                <w:szCs w:val="18"/>
              </w:rPr>
              <w:t>- cieplnej</w:t>
            </w:r>
          </w:p>
        </w:tc>
        <w:tc>
          <w:tcPr>
            <w:tcW w:w="1739" w:type="dxa"/>
            <w:tcBorders>
              <w:top w:val="nil"/>
              <w:left w:val="nil"/>
              <w:bottom w:val="single" w:sz="8" w:space="0" w:color="auto"/>
              <w:right w:val="single" w:sz="8" w:space="0" w:color="auto"/>
            </w:tcBorders>
            <w:shd w:val="clear" w:color="auto" w:fill="auto"/>
            <w:vAlign w:val="center"/>
            <w:hideMark/>
          </w:tcPr>
          <w:p w14:paraId="58FF7083"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A8C3FFF"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17FF918" w14:textId="77777777" w:rsidR="00E60C69" w:rsidRDefault="00E60C69">
            <w:pPr>
              <w:jc w:val="center"/>
              <w:rPr>
                <w:i/>
                <w:iCs/>
                <w:sz w:val="20"/>
                <w:szCs w:val="20"/>
              </w:rPr>
            </w:pPr>
            <w:r>
              <w:rPr>
                <w:i/>
                <w:iCs/>
                <w:sz w:val="20"/>
                <w:szCs w:val="20"/>
              </w:rPr>
              <w:t>0,00</w:t>
            </w:r>
          </w:p>
        </w:tc>
      </w:tr>
      <w:tr w:rsidR="00E60C69" w14:paraId="4A2975A5"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2B2CF77" w14:textId="77777777" w:rsidR="00E60C69" w:rsidRPr="00E60C69" w:rsidRDefault="00E60C69">
            <w:pPr>
              <w:rPr>
                <w:sz w:val="18"/>
                <w:szCs w:val="18"/>
              </w:rPr>
            </w:pPr>
            <w:r w:rsidRPr="00E60C69">
              <w:rPr>
                <w:sz w:val="18"/>
                <w:szCs w:val="18"/>
              </w:rPr>
              <w:t>B.II.2.c.</w:t>
            </w:r>
          </w:p>
        </w:tc>
        <w:tc>
          <w:tcPr>
            <w:tcW w:w="2219" w:type="dxa"/>
            <w:tcBorders>
              <w:top w:val="nil"/>
              <w:left w:val="nil"/>
              <w:bottom w:val="single" w:sz="8" w:space="0" w:color="auto"/>
              <w:right w:val="single" w:sz="8" w:space="0" w:color="auto"/>
            </w:tcBorders>
            <w:shd w:val="clear" w:color="auto" w:fill="auto"/>
            <w:vAlign w:val="center"/>
            <w:hideMark/>
          </w:tcPr>
          <w:p w14:paraId="40CDCC31" w14:textId="77777777" w:rsidR="00E60C69" w:rsidRPr="00E60C69" w:rsidRDefault="00E60C69">
            <w:pPr>
              <w:rPr>
                <w:sz w:val="18"/>
                <w:szCs w:val="18"/>
              </w:rPr>
            </w:pPr>
            <w:r w:rsidRPr="00E60C69">
              <w:rPr>
                <w:sz w:val="18"/>
                <w:szCs w:val="18"/>
              </w:rPr>
              <w:t>- pozostałe</w:t>
            </w:r>
          </w:p>
        </w:tc>
        <w:tc>
          <w:tcPr>
            <w:tcW w:w="1739" w:type="dxa"/>
            <w:tcBorders>
              <w:top w:val="nil"/>
              <w:left w:val="nil"/>
              <w:bottom w:val="single" w:sz="8" w:space="0" w:color="auto"/>
              <w:right w:val="single" w:sz="8" w:space="0" w:color="auto"/>
            </w:tcBorders>
            <w:shd w:val="clear" w:color="auto" w:fill="auto"/>
            <w:vAlign w:val="center"/>
            <w:hideMark/>
          </w:tcPr>
          <w:p w14:paraId="321F43FA"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47F8EEE"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C9B3ABE" w14:textId="77777777" w:rsidR="00E60C69" w:rsidRDefault="00E60C69">
            <w:pPr>
              <w:jc w:val="center"/>
              <w:rPr>
                <w:i/>
                <w:iCs/>
                <w:sz w:val="20"/>
                <w:szCs w:val="20"/>
              </w:rPr>
            </w:pPr>
            <w:r>
              <w:rPr>
                <w:i/>
                <w:iCs/>
                <w:sz w:val="20"/>
                <w:szCs w:val="20"/>
              </w:rPr>
              <w:t>0,00</w:t>
            </w:r>
          </w:p>
        </w:tc>
      </w:tr>
      <w:tr w:rsidR="00E60C69" w14:paraId="40CA9FE4"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39326FD" w14:textId="77777777" w:rsidR="00E60C69" w:rsidRPr="00E60C69" w:rsidRDefault="00E60C69">
            <w:pPr>
              <w:rPr>
                <w:sz w:val="18"/>
                <w:szCs w:val="18"/>
              </w:rPr>
            </w:pPr>
            <w:r w:rsidRPr="00E60C69">
              <w:rPr>
                <w:sz w:val="18"/>
                <w:szCs w:val="18"/>
              </w:rPr>
              <w:t>B.III.</w:t>
            </w:r>
          </w:p>
        </w:tc>
        <w:tc>
          <w:tcPr>
            <w:tcW w:w="2219" w:type="dxa"/>
            <w:tcBorders>
              <w:top w:val="nil"/>
              <w:left w:val="nil"/>
              <w:bottom w:val="single" w:sz="8" w:space="0" w:color="auto"/>
              <w:right w:val="single" w:sz="8" w:space="0" w:color="auto"/>
            </w:tcBorders>
            <w:shd w:val="clear" w:color="000000" w:fill="FFFFFF"/>
            <w:vAlign w:val="center"/>
            <w:hideMark/>
          </w:tcPr>
          <w:p w14:paraId="2F4B8EE7" w14:textId="77777777" w:rsidR="00E60C69" w:rsidRPr="00E60C69" w:rsidRDefault="00E60C69">
            <w:pPr>
              <w:rPr>
                <w:sz w:val="18"/>
                <w:szCs w:val="18"/>
              </w:rPr>
            </w:pPr>
            <w:r w:rsidRPr="00E60C69">
              <w:rPr>
                <w:sz w:val="18"/>
                <w:szCs w:val="18"/>
              </w:rPr>
              <w:t xml:space="preserve"> Usługi obce</w:t>
            </w:r>
          </w:p>
        </w:tc>
        <w:tc>
          <w:tcPr>
            <w:tcW w:w="1739" w:type="dxa"/>
            <w:tcBorders>
              <w:top w:val="nil"/>
              <w:left w:val="nil"/>
              <w:bottom w:val="single" w:sz="8" w:space="0" w:color="auto"/>
              <w:right w:val="single" w:sz="8" w:space="0" w:color="auto"/>
            </w:tcBorders>
            <w:shd w:val="clear" w:color="auto" w:fill="auto"/>
            <w:vAlign w:val="center"/>
            <w:hideMark/>
          </w:tcPr>
          <w:p w14:paraId="00B60957" w14:textId="77777777" w:rsidR="00E60C69" w:rsidRDefault="00E60C69">
            <w:pPr>
              <w:jc w:val="center"/>
              <w:rPr>
                <w:i/>
                <w:iCs/>
                <w:sz w:val="20"/>
                <w:szCs w:val="20"/>
              </w:rPr>
            </w:pPr>
            <w:r>
              <w:rPr>
                <w:i/>
                <w:iCs/>
                <w:sz w:val="20"/>
                <w:szCs w:val="20"/>
              </w:rPr>
              <w:t>3 897 000,00</w:t>
            </w:r>
          </w:p>
        </w:tc>
        <w:tc>
          <w:tcPr>
            <w:tcW w:w="1779" w:type="dxa"/>
            <w:tcBorders>
              <w:top w:val="nil"/>
              <w:left w:val="nil"/>
              <w:bottom w:val="single" w:sz="8" w:space="0" w:color="auto"/>
              <w:right w:val="single" w:sz="8" w:space="0" w:color="auto"/>
            </w:tcBorders>
            <w:shd w:val="clear" w:color="auto" w:fill="auto"/>
            <w:vAlign w:val="center"/>
            <w:hideMark/>
          </w:tcPr>
          <w:p w14:paraId="629104C7" w14:textId="77777777" w:rsidR="00E60C69" w:rsidRDefault="00E60C69">
            <w:pPr>
              <w:jc w:val="center"/>
              <w:rPr>
                <w:i/>
                <w:iCs/>
                <w:sz w:val="20"/>
                <w:szCs w:val="20"/>
              </w:rPr>
            </w:pPr>
            <w:r>
              <w:rPr>
                <w:i/>
                <w:iCs/>
                <w:sz w:val="20"/>
                <w:szCs w:val="20"/>
              </w:rPr>
              <w:t>3 950 000,00</w:t>
            </w:r>
          </w:p>
        </w:tc>
        <w:tc>
          <w:tcPr>
            <w:tcW w:w="1779" w:type="dxa"/>
            <w:tcBorders>
              <w:top w:val="nil"/>
              <w:left w:val="nil"/>
              <w:bottom w:val="single" w:sz="8" w:space="0" w:color="auto"/>
              <w:right w:val="single" w:sz="8" w:space="0" w:color="auto"/>
            </w:tcBorders>
            <w:shd w:val="clear" w:color="auto" w:fill="auto"/>
            <w:vAlign w:val="center"/>
            <w:hideMark/>
          </w:tcPr>
          <w:p w14:paraId="70712CA5" w14:textId="77777777" w:rsidR="00E60C69" w:rsidRDefault="00E60C69">
            <w:pPr>
              <w:jc w:val="center"/>
              <w:rPr>
                <w:i/>
                <w:iCs/>
                <w:sz w:val="20"/>
                <w:szCs w:val="20"/>
              </w:rPr>
            </w:pPr>
            <w:r>
              <w:rPr>
                <w:i/>
                <w:iCs/>
                <w:sz w:val="20"/>
                <w:szCs w:val="20"/>
              </w:rPr>
              <w:t>4 080 000,00</w:t>
            </w:r>
          </w:p>
        </w:tc>
      </w:tr>
      <w:tr w:rsidR="00E60C69" w14:paraId="168F79CD"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864C1AC" w14:textId="77777777" w:rsidR="00E60C69" w:rsidRPr="00E60C69" w:rsidRDefault="00E60C69">
            <w:pPr>
              <w:rPr>
                <w:sz w:val="18"/>
                <w:szCs w:val="18"/>
              </w:rPr>
            </w:pPr>
            <w:r w:rsidRPr="00E60C69">
              <w:rPr>
                <w:sz w:val="18"/>
                <w:szCs w:val="18"/>
              </w:rPr>
              <w:t>B.III.1.</w:t>
            </w:r>
          </w:p>
        </w:tc>
        <w:tc>
          <w:tcPr>
            <w:tcW w:w="2219" w:type="dxa"/>
            <w:tcBorders>
              <w:top w:val="nil"/>
              <w:left w:val="nil"/>
              <w:bottom w:val="single" w:sz="8" w:space="0" w:color="auto"/>
              <w:right w:val="single" w:sz="8" w:space="0" w:color="auto"/>
            </w:tcBorders>
            <w:shd w:val="clear" w:color="000000" w:fill="FFFFFF"/>
            <w:vAlign w:val="center"/>
            <w:hideMark/>
          </w:tcPr>
          <w:p w14:paraId="0C66C724" w14:textId="77777777" w:rsidR="00E60C69" w:rsidRPr="00E60C69" w:rsidRDefault="00E60C69">
            <w:pPr>
              <w:rPr>
                <w:sz w:val="18"/>
                <w:szCs w:val="18"/>
              </w:rPr>
            </w:pPr>
            <w:r w:rsidRPr="00E60C69">
              <w:rPr>
                <w:sz w:val="18"/>
                <w:szCs w:val="18"/>
              </w:rPr>
              <w:t>remontowe</w:t>
            </w:r>
          </w:p>
        </w:tc>
        <w:tc>
          <w:tcPr>
            <w:tcW w:w="1739" w:type="dxa"/>
            <w:tcBorders>
              <w:top w:val="nil"/>
              <w:left w:val="nil"/>
              <w:bottom w:val="single" w:sz="8" w:space="0" w:color="auto"/>
              <w:right w:val="single" w:sz="8" w:space="0" w:color="auto"/>
            </w:tcBorders>
            <w:shd w:val="clear" w:color="auto" w:fill="auto"/>
            <w:vAlign w:val="center"/>
            <w:hideMark/>
          </w:tcPr>
          <w:p w14:paraId="5DF279E2" w14:textId="77777777" w:rsidR="00E60C69" w:rsidRDefault="00E60C69">
            <w:pPr>
              <w:jc w:val="center"/>
              <w:rPr>
                <w:sz w:val="20"/>
                <w:szCs w:val="20"/>
              </w:rPr>
            </w:pPr>
            <w:r>
              <w:rPr>
                <w:sz w:val="20"/>
                <w:szCs w:val="20"/>
              </w:rPr>
              <w:t>100 000,00</w:t>
            </w:r>
          </w:p>
        </w:tc>
        <w:tc>
          <w:tcPr>
            <w:tcW w:w="1779" w:type="dxa"/>
            <w:tcBorders>
              <w:top w:val="nil"/>
              <w:left w:val="nil"/>
              <w:bottom w:val="single" w:sz="8" w:space="0" w:color="auto"/>
              <w:right w:val="single" w:sz="8" w:space="0" w:color="auto"/>
            </w:tcBorders>
            <w:shd w:val="clear" w:color="auto" w:fill="auto"/>
            <w:vAlign w:val="center"/>
            <w:hideMark/>
          </w:tcPr>
          <w:p w14:paraId="3A3AA9B8" w14:textId="77777777" w:rsidR="00E60C69" w:rsidRDefault="00E60C69">
            <w:pPr>
              <w:jc w:val="center"/>
              <w:rPr>
                <w:sz w:val="20"/>
                <w:szCs w:val="20"/>
              </w:rPr>
            </w:pPr>
            <w:r>
              <w:rPr>
                <w:sz w:val="20"/>
                <w:szCs w:val="20"/>
              </w:rPr>
              <w:t>100 000,00</w:t>
            </w:r>
          </w:p>
        </w:tc>
        <w:tc>
          <w:tcPr>
            <w:tcW w:w="1779" w:type="dxa"/>
            <w:tcBorders>
              <w:top w:val="nil"/>
              <w:left w:val="nil"/>
              <w:bottom w:val="single" w:sz="8" w:space="0" w:color="auto"/>
              <w:right w:val="single" w:sz="8" w:space="0" w:color="auto"/>
            </w:tcBorders>
            <w:shd w:val="clear" w:color="auto" w:fill="auto"/>
            <w:vAlign w:val="center"/>
            <w:hideMark/>
          </w:tcPr>
          <w:p w14:paraId="778DD0C8" w14:textId="77777777" w:rsidR="00E60C69" w:rsidRDefault="00E60C69">
            <w:pPr>
              <w:jc w:val="center"/>
              <w:rPr>
                <w:sz w:val="20"/>
                <w:szCs w:val="20"/>
              </w:rPr>
            </w:pPr>
            <w:r>
              <w:rPr>
                <w:sz w:val="20"/>
                <w:szCs w:val="20"/>
              </w:rPr>
              <w:t>100 000,00</w:t>
            </w:r>
          </w:p>
        </w:tc>
      </w:tr>
      <w:tr w:rsidR="00E60C69" w14:paraId="56D7CC7F"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9406BBE" w14:textId="77777777" w:rsidR="00E60C69" w:rsidRPr="00E60C69" w:rsidRDefault="00E60C69">
            <w:pPr>
              <w:rPr>
                <w:sz w:val="18"/>
                <w:szCs w:val="18"/>
              </w:rPr>
            </w:pPr>
            <w:r w:rsidRPr="00E60C69">
              <w:rPr>
                <w:sz w:val="18"/>
                <w:szCs w:val="18"/>
              </w:rPr>
              <w:t>B.III.2.</w:t>
            </w:r>
          </w:p>
        </w:tc>
        <w:tc>
          <w:tcPr>
            <w:tcW w:w="2219" w:type="dxa"/>
            <w:tcBorders>
              <w:top w:val="nil"/>
              <w:left w:val="nil"/>
              <w:bottom w:val="single" w:sz="8" w:space="0" w:color="auto"/>
              <w:right w:val="single" w:sz="8" w:space="0" w:color="auto"/>
            </w:tcBorders>
            <w:shd w:val="clear" w:color="000000" w:fill="FFFFFF"/>
            <w:vAlign w:val="center"/>
            <w:hideMark/>
          </w:tcPr>
          <w:p w14:paraId="57720953" w14:textId="77777777" w:rsidR="00E60C69" w:rsidRPr="00E60C69" w:rsidRDefault="00E60C69">
            <w:pPr>
              <w:rPr>
                <w:sz w:val="18"/>
                <w:szCs w:val="18"/>
              </w:rPr>
            </w:pPr>
            <w:r w:rsidRPr="00E60C69">
              <w:rPr>
                <w:sz w:val="18"/>
                <w:szCs w:val="18"/>
              </w:rPr>
              <w:t>transportowe</w:t>
            </w:r>
          </w:p>
        </w:tc>
        <w:tc>
          <w:tcPr>
            <w:tcW w:w="1739" w:type="dxa"/>
            <w:tcBorders>
              <w:top w:val="nil"/>
              <w:left w:val="nil"/>
              <w:bottom w:val="single" w:sz="8" w:space="0" w:color="auto"/>
              <w:right w:val="single" w:sz="8" w:space="0" w:color="auto"/>
            </w:tcBorders>
            <w:shd w:val="clear" w:color="auto" w:fill="auto"/>
            <w:vAlign w:val="center"/>
            <w:hideMark/>
          </w:tcPr>
          <w:p w14:paraId="4CDCA2EC" w14:textId="77777777" w:rsidR="00E60C69" w:rsidRDefault="00E60C69">
            <w:pPr>
              <w:jc w:val="center"/>
              <w:rPr>
                <w:sz w:val="20"/>
                <w:szCs w:val="20"/>
              </w:rPr>
            </w:pPr>
            <w:r>
              <w:rPr>
                <w:sz w:val="20"/>
                <w:szCs w:val="20"/>
              </w:rPr>
              <w:t>97 000,00</w:t>
            </w:r>
          </w:p>
        </w:tc>
        <w:tc>
          <w:tcPr>
            <w:tcW w:w="1779" w:type="dxa"/>
            <w:tcBorders>
              <w:top w:val="nil"/>
              <w:left w:val="nil"/>
              <w:bottom w:val="single" w:sz="8" w:space="0" w:color="auto"/>
              <w:right w:val="single" w:sz="8" w:space="0" w:color="auto"/>
            </w:tcBorders>
            <w:shd w:val="clear" w:color="auto" w:fill="auto"/>
            <w:vAlign w:val="center"/>
            <w:hideMark/>
          </w:tcPr>
          <w:p w14:paraId="4763158B" w14:textId="77777777" w:rsidR="00E60C69" w:rsidRDefault="00E60C69">
            <w:pPr>
              <w:jc w:val="center"/>
              <w:rPr>
                <w:sz w:val="20"/>
                <w:szCs w:val="20"/>
              </w:rPr>
            </w:pPr>
            <w:r>
              <w:rPr>
                <w:sz w:val="20"/>
                <w:szCs w:val="20"/>
              </w:rPr>
              <w:t>80 000,00</w:t>
            </w:r>
          </w:p>
        </w:tc>
        <w:tc>
          <w:tcPr>
            <w:tcW w:w="1779" w:type="dxa"/>
            <w:tcBorders>
              <w:top w:val="nil"/>
              <w:left w:val="nil"/>
              <w:bottom w:val="single" w:sz="8" w:space="0" w:color="auto"/>
              <w:right w:val="single" w:sz="8" w:space="0" w:color="auto"/>
            </w:tcBorders>
            <w:shd w:val="clear" w:color="auto" w:fill="auto"/>
            <w:vAlign w:val="center"/>
            <w:hideMark/>
          </w:tcPr>
          <w:p w14:paraId="3F3E5F38" w14:textId="77777777" w:rsidR="00E60C69" w:rsidRDefault="00E60C69">
            <w:pPr>
              <w:jc w:val="center"/>
              <w:rPr>
                <w:sz w:val="20"/>
                <w:szCs w:val="20"/>
              </w:rPr>
            </w:pPr>
            <w:r>
              <w:rPr>
                <w:sz w:val="20"/>
                <w:szCs w:val="20"/>
              </w:rPr>
              <w:t>80 000,00</w:t>
            </w:r>
          </w:p>
        </w:tc>
      </w:tr>
      <w:tr w:rsidR="00E60C69" w14:paraId="5E892CE6" w14:textId="77777777" w:rsidTr="00E60C69">
        <w:trPr>
          <w:trHeight w:val="103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2FCD0638" w14:textId="77777777" w:rsidR="00E60C69" w:rsidRPr="00E60C69" w:rsidRDefault="00E60C69">
            <w:pPr>
              <w:rPr>
                <w:sz w:val="18"/>
                <w:szCs w:val="18"/>
              </w:rPr>
            </w:pPr>
            <w:r w:rsidRPr="00E60C69">
              <w:rPr>
                <w:sz w:val="18"/>
                <w:szCs w:val="18"/>
              </w:rPr>
              <w:t>B.III.3.</w:t>
            </w:r>
          </w:p>
        </w:tc>
        <w:tc>
          <w:tcPr>
            <w:tcW w:w="2219" w:type="dxa"/>
            <w:tcBorders>
              <w:top w:val="nil"/>
              <w:left w:val="nil"/>
              <w:bottom w:val="single" w:sz="8" w:space="0" w:color="auto"/>
              <w:right w:val="single" w:sz="8" w:space="0" w:color="auto"/>
            </w:tcBorders>
            <w:shd w:val="clear" w:color="000000" w:fill="FFFFFF"/>
            <w:vAlign w:val="center"/>
            <w:hideMark/>
          </w:tcPr>
          <w:p w14:paraId="67746344" w14:textId="77777777" w:rsidR="00E60C69" w:rsidRPr="00E60C69" w:rsidRDefault="00E60C69">
            <w:pPr>
              <w:rPr>
                <w:sz w:val="18"/>
                <w:szCs w:val="18"/>
              </w:rPr>
            </w:pPr>
            <w:r w:rsidRPr="00E60C69">
              <w:rPr>
                <w:sz w:val="18"/>
                <w:szCs w:val="18"/>
              </w:rPr>
              <w:t>medyczne obce (umowy cywilno-prawne, prace wykonane przez laboratoria itp.)</w:t>
            </w:r>
          </w:p>
        </w:tc>
        <w:tc>
          <w:tcPr>
            <w:tcW w:w="1739" w:type="dxa"/>
            <w:tcBorders>
              <w:top w:val="nil"/>
              <w:left w:val="nil"/>
              <w:bottom w:val="single" w:sz="8" w:space="0" w:color="auto"/>
              <w:right w:val="single" w:sz="8" w:space="0" w:color="auto"/>
            </w:tcBorders>
            <w:shd w:val="clear" w:color="auto" w:fill="auto"/>
            <w:vAlign w:val="center"/>
            <w:hideMark/>
          </w:tcPr>
          <w:p w14:paraId="77110822" w14:textId="77777777" w:rsidR="00E60C69" w:rsidRDefault="00E60C69">
            <w:pPr>
              <w:jc w:val="center"/>
              <w:rPr>
                <w:sz w:val="20"/>
                <w:szCs w:val="20"/>
              </w:rPr>
            </w:pPr>
            <w:r>
              <w:rPr>
                <w:sz w:val="20"/>
                <w:szCs w:val="20"/>
              </w:rPr>
              <w:t>2 600 000,00</w:t>
            </w:r>
          </w:p>
        </w:tc>
        <w:tc>
          <w:tcPr>
            <w:tcW w:w="1779" w:type="dxa"/>
            <w:tcBorders>
              <w:top w:val="nil"/>
              <w:left w:val="nil"/>
              <w:bottom w:val="single" w:sz="8" w:space="0" w:color="auto"/>
              <w:right w:val="single" w:sz="8" w:space="0" w:color="auto"/>
            </w:tcBorders>
            <w:shd w:val="clear" w:color="auto" w:fill="auto"/>
            <w:vAlign w:val="center"/>
            <w:hideMark/>
          </w:tcPr>
          <w:p w14:paraId="6371F7C9" w14:textId="77777777" w:rsidR="00E60C69" w:rsidRDefault="00E60C69">
            <w:pPr>
              <w:jc w:val="center"/>
              <w:rPr>
                <w:sz w:val="20"/>
                <w:szCs w:val="20"/>
              </w:rPr>
            </w:pPr>
            <w:r>
              <w:rPr>
                <w:sz w:val="20"/>
                <w:szCs w:val="20"/>
              </w:rPr>
              <w:t>2 650 000,00</w:t>
            </w:r>
          </w:p>
        </w:tc>
        <w:tc>
          <w:tcPr>
            <w:tcW w:w="1779" w:type="dxa"/>
            <w:tcBorders>
              <w:top w:val="nil"/>
              <w:left w:val="nil"/>
              <w:bottom w:val="single" w:sz="8" w:space="0" w:color="auto"/>
              <w:right w:val="single" w:sz="8" w:space="0" w:color="auto"/>
            </w:tcBorders>
            <w:shd w:val="clear" w:color="auto" w:fill="auto"/>
            <w:vAlign w:val="center"/>
            <w:hideMark/>
          </w:tcPr>
          <w:p w14:paraId="263BC88A" w14:textId="77777777" w:rsidR="00E60C69" w:rsidRDefault="00E60C69">
            <w:pPr>
              <w:jc w:val="center"/>
              <w:rPr>
                <w:sz w:val="20"/>
                <w:szCs w:val="20"/>
              </w:rPr>
            </w:pPr>
            <w:r>
              <w:rPr>
                <w:sz w:val="20"/>
                <w:szCs w:val="20"/>
              </w:rPr>
              <w:t>2 750 000,00</w:t>
            </w:r>
          </w:p>
        </w:tc>
      </w:tr>
      <w:tr w:rsidR="00E60C69" w14:paraId="003D413C"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F8C5A6E" w14:textId="77777777" w:rsidR="00E60C69" w:rsidRPr="00E60C69" w:rsidRDefault="00E60C69">
            <w:pPr>
              <w:rPr>
                <w:sz w:val="18"/>
                <w:szCs w:val="18"/>
              </w:rPr>
            </w:pPr>
            <w:r w:rsidRPr="00E60C69">
              <w:rPr>
                <w:sz w:val="18"/>
                <w:szCs w:val="18"/>
              </w:rPr>
              <w:t>B.III.4.</w:t>
            </w:r>
          </w:p>
        </w:tc>
        <w:tc>
          <w:tcPr>
            <w:tcW w:w="2219" w:type="dxa"/>
            <w:tcBorders>
              <w:top w:val="nil"/>
              <w:left w:val="nil"/>
              <w:bottom w:val="single" w:sz="8" w:space="0" w:color="auto"/>
              <w:right w:val="single" w:sz="8" w:space="0" w:color="auto"/>
            </w:tcBorders>
            <w:shd w:val="clear" w:color="000000" w:fill="FFFFFF"/>
            <w:vAlign w:val="center"/>
            <w:hideMark/>
          </w:tcPr>
          <w:p w14:paraId="567616DC" w14:textId="77777777" w:rsidR="00E60C69" w:rsidRPr="00E60C69" w:rsidRDefault="00E60C69">
            <w:pPr>
              <w:rPr>
                <w:sz w:val="18"/>
                <w:szCs w:val="18"/>
              </w:rPr>
            </w:pPr>
            <w:r w:rsidRPr="00E60C69">
              <w:rPr>
                <w:sz w:val="18"/>
                <w:szCs w:val="18"/>
              </w:rPr>
              <w:t>pozostałe usługi</w:t>
            </w:r>
          </w:p>
        </w:tc>
        <w:tc>
          <w:tcPr>
            <w:tcW w:w="1739" w:type="dxa"/>
            <w:tcBorders>
              <w:top w:val="nil"/>
              <w:left w:val="nil"/>
              <w:bottom w:val="single" w:sz="8" w:space="0" w:color="auto"/>
              <w:right w:val="single" w:sz="8" w:space="0" w:color="auto"/>
            </w:tcBorders>
            <w:shd w:val="clear" w:color="auto" w:fill="auto"/>
            <w:vAlign w:val="center"/>
            <w:hideMark/>
          </w:tcPr>
          <w:p w14:paraId="0B57DB27" w14:textId="77777777" w:rsidR="00E60C69" w:rsidRDefault="00E60C69">
            <w:pPr>
              <w:jc w:val="center"/>
              <w:rPr>
                <w:sz w:val="20"/>
                <w:szCs w:val="20"/>
              </w:rPr>
            </w:pPr>
            <w:r>
              <w:rPr>
                <w:sz w:val="20"/>
                <w:szCs w:val="20"/>
              </w:rPr>
              <w:t>1 100 000,00</w:t>
            </w:r>
          </w:p>
        </w:tc>
        <w:tc>
          <w:tcPr>
            <w:tcW w:w="1779" w:type="dxa"/>
            <w:tcBorders>
              <w:top w:val="nil"/>
              <w:left w:val="nil"/>
              <w:bottom w:val="single" w:sz="8" w:space="0" w:color="auto"/>
              <w:right w:val="single" w:sz="8" w:space="0" w:color="auto"/>
            </w:tcBorders>
            <w:shd w:val="clear" w:color="auto" w:fill="auto"/>
            <w:vAlign w:val="center"/>
            <w:hideMark/>
          </w:tcPr>
          <w:p w14:paraId="447F29DB" w14:textId="77777777" w:rsidR="00E60C69" w:rsidRDefault="00E60C69">
            <w:pPr>
              <w:jc w:val="center"/>
              <w:rPr>
                <w:sz w:val="20"/>
                <w:szCs w:val="20"/>
              </w:rPr>
            </w:pPr>
            <w:r>
              <w:rPr>
                <w:sz w:val="20"/>
                <w:szCs w:val="20"/>
              </w:rPr>
              <w:t>1 120 000,00</w:t>
            </w:r>
          </w:p>
        </w:tc>
        <w:tc>
          <w:tcPr>
            <w:tcW w:w="1779" w:type="dxa"/>
            <w:tcBorders>
              <w:top w:val="nil"/>
              <w:left w:val="nil"/>
              <w:bottom w:val="single" w:sz="8" w:space="0" w:color="auto"/>
              <w:right w:val="single" w:sz="8" w:space="0" w:color="auto"/>
            </w:tcBorders>
            <w:shd w:val="clear" w:color="auto" w:fill="auto"/>
            <w:vAlign w:val="center"/>
            <w:hideMark/>
          </w:tcPr>
          <w:p w14:paraId="5D75835C" w14:textId="77777777" w:rsidR="00E60C69" w:rsidRDefault="00E60C69">
            <w:pPr>
              <w:jc w:val="center"/>
              <w:rPr>
                <w:sz w:val="20"/>
                <w:szCs w:val="20"/>
              </w:rPr>
            </w:pPr>
            <w:r>
              <w:rPr>
                <w:sz w:val="20"/>
                <w:szCs w:val="20"/>
              </w:rPr>
              <w:t>1 150 000,00</w:t>
            </w:r>
          </w:p>
        </w:tc>
      </w:tr>
      <w:tr w:rsidR="00E60C69" w14:paraId="49B91E15"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8FC41FC" w14:textId="77777777" w:rsidR="00E60C69" w:rsidRPr="00E60C69" w:rsidRDefault="00E60C69">
            <w:pPr>
              <w:rPr>
                <w:sz w:val="18"/>
                <w:szCs w:val="18"/>
              </w:rPr>
            </w:pPr>
            <w:r w:rsidRPr="00E60C69">
              <w:rPr>
                <w:sz w:val="18"/>
                <w:szCs w:val="18"/>
              </w:rPr>
              <w:t>B.IV.</w:t>
            </w:r>
          </w:p>
        </w:tc>
        <w:tc>
          <w:tcPr>
            <w:tcW w:w="2219" w:type="dxa"/>
            <w:tcBorders>
              <w:top w:val="nil"/>
              <w:left w:val="nil"/>
              <w:bottom w:val="single" w:sz="8" w:space="0" w:color="auto"/>
              <w:right w:val="single" w:sz="8" w:space="0" w:color="auto"/>
            </w:tcBorders>
            <w:shd w:val="clear" w:color="000000" w:fill="FFFFFF"/>
            <w:vAlign w:val="center"/>
            <w:hideMark/>
          </w:tcPr>
          <w:p w14:paraId="107C3A51" w14:textId="77777777" w:rsidR="00E60C69" w:rsidRPr="00E60C69" w:rsidRDefault="00E60C69">
            <w:pPr>
              <w:rPr>
                <w:sz w:val="18"/>
                <w:szCs w:val="18"/>
              </w:rPr>
            </w:pPr>
            <w:r w:rsidRPr="00E60C69">
              <w:rPr>
                <w:sz w:val="18"/>
                <w:szCs w:val="18"/>
              </w:rPr>
              <w:t xml:space="preserve"> Podatki i opłaty</w:t>
            </w:r>
          </w:p>
        </w:tc>
        <w:tc>
          <w:tcPr>
            <w:tcW w:w="1739" w:type="dxa"/>
            <w:tcBorders>
              <w:top w:val="nil"/>
              <w:left w:val="nil"/>
              <w:bottom w:val="single" w:sz="8" w:space="0" w:color="auto"/>
              <w:right w:val="single" w:sz="8" w:space="0" w:color="auto"/>
            </w:tcBorders>
            <w:shd w:val="clear" w:color="auto" w:fill="auto"/>
            <w:vAlign w:val="center"/>
            <w:hideMark/>
          </w:tcPr>
          <w:p w14:paraId="08D5E828" w14:textId="77777777" w:rsidR="00E60C69" w:rsidRDefault="00E60C69">
            <w:pPr>
              <w:jc w:val="center"/>
              <w:rPr>
                <w:i/>
                <w:iCs/>
                <w:sz w:val="20"/>
                <w:szCs w:val="20"/>
              </w:rPr>
            </w:pPr>
            <w:r>
              <w:rPr>
                <w:i/>
                <w:iCs/>
                <w:sz w:val="20"/>
                <w:szCs w:val="20"/>
              </w:rPr>
              <w:t>140 000,00</w:t>
            </w:r>
          </w:p>
        </w:tc>
        <w:tc>
          <w:tcPr>
            <w:tcW w:w="1779" w:type="dxa"/>
            <w:tcBorders>
              <w:top w:val="nil"/>
              <w:left w:val="nil"/>
              <w:bottom w:val="single" w:sz="8" w:space="0" w:color="auto"/>
              <w:right w:val="single" w:sz="8" w:space="0" w:color="auto"/>
            </w:tcBorders>
            <w:shd w:val="clear" w:color="auto" w:fill="auto"/>
            <w:vAlign w:val="center"/>
            <w:hideMark/>
          </w:tcPr>
          <w:p w14:paraId="1137F8E3" w14:textId="77777777" w:rsidR="00E60C69" w:rsidRDefault="00E60C69">
            <w:pPr>
              <w:jc w:val="center"/>
              <w:rPr>
                <w:i/>
                <w:iCs/>
                <w:sz w:val="20"/>
                <w:szCs w:val="20"/>
              </w:rPr>
            </w:pPr>
            <w:r>
              <w:rPr>
                <w:i/>
                <w:iCs/>
                <w:sz w:val="20"/>
                <w:szCs w:val="20"/>
              </w:rPr>
              <w:t>150 000,00</w:t>
            </w:r>
          </w:p>
        </w:tc>
        <w:tc>
          <w:tcPr>
            <w:tcW w:w="1779" w:type="dxa"/>
            <w:tcBorders>
              <w:top w:val="nil"/>
              <w:left w:val="nil"/>
              <w:bottom w:val="single" w:sz="8" w:space="0" w:color="auto"/>
              <w:right w:val="single" w:sz="8" w:space="0" w:color="auto"/>
            </w:tcBorders>
            <w:shd w:val="clear" w:color="auto" w:fill="auto"/>
            <w:vAlign w:val="center"/>
            <w:hideMark/>
          </w:tcPr>
          <w:p w14:paraId="2B53D257" w14:textId="77777777" w:rsidR="00E60C69" w:rsidRDefault="00E60C69">
            <w:pPr>
              <w:jc w:val="center"/>
              <w:rPr>
                <w:i/>
                <w:iCs/>
                <w:sz w:val="20"/>
                <w:szCs w:val="20"/>
              </w:rPr>
            </w:pPr>
            <w:r>
              <w:rPr>
                <w:i/>
                <w:iCs/>
                <w:sz w:val="20"/>
                <w:szCs w:val="20"/>
              </w:rPr>
              <w:t>150 000,00</w:t>
            </w:r>
          </w:p>
        </w:tc>
      </w:tr>
      <w:tr w:rsidR="00E60C69" w14:paraId="387138B7"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DC3FA99"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427199CC" w14:textId="77777777" w:rsidR="00E60C69" w:rsidRPr="00E60C69" w:rsidRDefault="00E60C69">
            <w:pPr>
              <w:rPr>
                <w:sz w:val="18"/>
                <w:szCs w:val="18"/>
              </w:rPr>
            </w:pPr>
            <w:r w:rsidRPr="00E60C69">
              <w:rPr>
                <w:sz w:val="18"/>
                <w:szCs w:val="18"/>
              </w:rPr>
              <w:t>w tym  podatek akcyzowy</w:t>
            </w:r>
          </w:p>
        </w:tc>
        <w:tc>
          <w:tcPr>
            <w:tcW w:w="1739" w:type="dxa"/>
            <w:tcBorders>
              <w:top w:val="nil"/>
              <w:left w:val="nil"/>
              <w:bottom w:val="single" w:sz="8" w:space="0" w:color="auto"/>
              <w:right w:val="single" w:sz="8" w:space="0" w:color="auto"/>
            </w:tcBorders>
            <w:shd w:val="clear" w:color="auto" w:fill="auto"/>
            <w:vAlign w:val="center"/>
            <w:hideMark/>
          </w:tcPr>
          <w:p w14:paraId="1B25F543"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A3ED020"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6C32BB8" w14:textId="77777777" w:rsidR="00E60C69" w:rsidRDefault="00E60C69">
            <w:pPr>
              <w:jc w:val="center"/>
              <w:rPr>
                <w:i/>
                <w:iCs/>
                <w:sz w:val="20"/>
                <w:szCs w:val="20"/>
              </w:rPr>
            </w:pPr>
            <w:r>
              <w:rPr>
                <w:i/>
                <w:iCs/>
                <w:sz w:val="20"/>
                <w:szCs w:val="20"/>
              </w:rPr>
              <w:t>0,00</w:t>
            </w:r>
          </w:p>
        </w:tc>
      </w:tr>
      <w:tr w:rsidR="00E60C69" w14:paraId="01FD793E"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6A999C85" w14:textId="77777777" w:rsidR="00E60C69" w:rsidRPr="00E60C69" w:rsidRDefault="00E60C69">
            <w:pPr>
              <w:rPr>
                <w:sz w:val="18"/>
                <w:szCs w:val="18"/>
              </w:rPr>
            </w:pPr>
            <w:r w:rsidRPr="00E60C69">
              <w:rPr>
                <w:sz w:val="18"/>
                <w:szCs w:val="18"/>
              </w:rPr>
              <w:t>B.V.</w:t>
            </w:r>
          </w:p>
        </w:tc>
        <w:tc>
          <w:tcPr>
            <w:tcW w:w="2219" w:type="dxa"/>
            <w:tcBorders>
              <w:top w:val="nil"/>
              <w:left w:val="nil"/>
              <w:bottom w:val="single" w:sz="8" w:space="0" w:color="auto"/>
              <w:right w:val="single" w:sz="8" w:space="0" w:color="auto"/>
            </w:tcBorders>
            <w:shd w:val="clear" w:color="000000" w:fill="FFFFFF"/>
            <w:vAlign w:val="center"/>
            <w:hideMark/>
          </w:tcPr>
          <w:p w14:paraId="22168491" w14:textId="77777777" w:rsidR="00E60C69" w:rsidRPr="00E60C69" w:rsidRDefault="00E60C69">
            <w:pPr>
              <w:rPr>
                <w:sz w:val="18"/>
                <w:szCs w:val="18"/>
              </w:rPr>
            </w:pPr>
            <w:r w:rsidRPr="00E60C69">
              <w:rPr>
                <w:sz w:val="18"/>
                <w:szCs w:val="18"/>
              </w:rPr>
              <w:t xml:space="preserve"> Wynagrodzenia</w:t>
            </w:r>
          </w:p>
        </w:tc>
        <w:tc>
          <w:tcPr>
            <w:tcW w:w="1739" w:type="dxa"/>
            <w:tcBorders>
              <w:top w:val="nil"/>
              <w:left w:val="nil"/>
              <w:bottom w:val="single" w:sz="8" w:space="0" w:color="auto"/>
              <w:right w:val="single" w:sz="8" w:space="0" w:color="auto"/>
            </w:tcBorders>
            <w:shd w:val="clear" w:color="auto" w:fill="auto"/>
            <w:vAlign w:val="center"/>
            <w:hideMark/>
          </w:tcPr>
          <w:p w14:paraId="54E877E1" w14:textId="77777777" w:rsidR="00E60C69" w:rsidRDefault="00E60C69">
            <w:pPr>
              <w:jc w:val="center"/>
              <w:rPr>
                <w:i/>
                <w:iCs/>
                <w:sz w:val="20"/>
                <w:szCs w:val="20"/>
              </w:rPr>
            </w:pPr>
            <w:r>
              <w:rPr>
                <w:i/>
                <w:iCs/>
                <w:sz w:val="20"/>
                <w:szCs w:val="20"/>
              </w:rPr>
              <w:t>15 680 000,00</w:t>
            </w:r>
          </w:p>
        </w:tc>
        <w:tc>
          <w:tcPr>
            <w:tcW w:w="1779" w:type="dxa"/>
            <w:tcBorders>
              <w:top w:val="nil"/>
              <w:left w:val="nil"/>
              <w:bottom w:val="single" w:sz="8" w:space="0" w:color="auto"/>
              <w:right w:val="single" w:sz="8" w:space="0" w:color="auto"/>
            </w:tcBorders>
            <w:shd w:val="clear" w:color="auto" w:fill="auto"/>
            <w:vAlign w:val="center"/>
            <w:hideMark/>
          </w:tcPr>
          <w:p w14:paraId="754BDE55" w14:textId="77777777" w:rsidR="00E60C69" w:rsidRDefault="00E60C69">
            <w:pPr>
              <w:jc w:val="center"/>
              <w:rPr>
                <w:i/>
                <w:iCs/>
                <w:sz w:val="20"/>
                <w:szCs w:val="20"/>
              </w:rPr>
            </w:pPr>
            <w:r>
              <w:rPr>
                <w:i/>
                <w:iCs/>
                <w:sz w:val="20"/>
                <w:szCs w:val="20"/>
              </w:rPr>
              <w:t>15 750 000,00</w:t>
            </w:r>
          </w:p>
        </w:tc>
        <w:tc>
          <w:tcPr>
            <w:tcW w:w="1779" w:type="dxa"/>
            <w:tcBorders>
              <w:top w:val="nil"/>
              <w:left w:val="nil"/>
              <w:bottom w:val="single" w:sz="8" w:space="0" w:color="auto"/>
              <w:right w:val="single" w:sz="8" w:space="0" w:color="auto"/>
            </w:tcBorders>
            <w:shd w:val="clear" w:color="auto" w:fill="auto"/>
            <w:vAlign w:val="center"/>
            <w:hideMark/>
          </w:tcPr>
          <w:p w14:paraId="7A9D5CC9" w14:textId="77777777" w:rsidR="00E60C69" w:rsidRDefault="00E60C69">
            <w:pPr>
              <w:jc w:val="center"/>
              <w:rPr>
                <w:i/>
                <w:iCs/>
                <w:sz w:val="20"/>
                <w:szCs w:val="20"/>
              </w:rPr>
            </w:pPr>
            <w:r>
              <w:rPr>
                <w:i/>
                <w:iCs/>
                <w:sz w:val="20"/>
                <w:szCs w:val="20"/>
              </w:rPr>
              <w:t>15 850 000,00</w:t>
            </w:r>
          </w:p>
        </w:tc>
      </w:tr>
      <w:tr w:rsidR="00E60C69" w14:paraId="7C138D2C"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420FA7D" w14:textId="77777777" w:rsidR="00E60C69" w:rsidRPr="00E60C69" w:rsidRDefault="00E60C69">
            <w:pPr>
              <w:rPr>
                <w:sz w:val="18"/>
                <w:szCs w:val="18"/>
              </w:rPr>
            </w:pPr>
            <w:r w:rsidRPr="00E60C69">
              <w:rPr>
                <w:sz w:val="18"/>
                <w:szCs w:val="18"/>
              </w:rPr>
              <w:t>B.V.1.</w:t>
            </w:r>
          </w:p>
        </w:tc>
        <w:tc>
          <w:tcPr>
            <w:tcW w:w="2219" w:type="dxa"/>
            <w:tcBorders>
              <w:top w:val="nil"/>
              <w:left w:val="nil"/>
              <w:bottom w:val="single" w:sz="8" w:space="0" w:color="auto"/>
              <w:right w:val="single" w:sz="8" w:space="0" w:color="auto"/>
            </w:tcBorders>
            <w:shd w:val="clear" w:color="000000" w:fill="FFFFFF"/>
            <w:vAlign w:val="center"/>
            <w:hideMark/>
          </w:tcPr>
          <w:p w14:paraId="30368BBE" w14:textId="77777777" w:rsidR="00E60C69" w:rsidRPr="00E60C69" w:rsidRDefault="00E60C69">
            <w:pPr>
              <w:rPr>
                <w:sz w:val="18"/>
                <w:szCs w:val="18"/>
              </w:rPr>
            </w:pPr>
            <w:r w:rsidRPr="00E60C69">
              <w:rPr>
                <w:sz w:val="18"/>
                <w:szCs w:val="18"/>
              </w:rPr>
              <w:t>wynagrodzenia ze stosunku pracy</w:t>
            </w:r>
          </w:p>
        </w:tc>
        <w:tc>
          <w:tcPr>
            <w:tcW w:w="1739" w:type="dxa"/>
            <w:tcBorders>
              <w:top w:val="nil"/>
              <w:left w:val="nil"/>
              <w:bottom w:val="single" w:sz="8" w:space="0" w:color="auto"/>
              <w:right w:val="single" w:sz="8" w:space="0" w:color="auto"/>
            </w:tcBorders>
            <w:shd w:val="clear" w:color="auto" w:fill="auto"/>
            <w:vAlign w:val="center"/>
            <w:hideMark/>
          </w:tcPr>
          <w:p w14:paraId="379BCC05" w14:textId="77777777" w:rsidR="00E60C69" w:rsidRDefault="00E60C69">
            <w:pPr>
              <w:jc w:val="center"/>
              <w:rPr>
                <w:i/>
                <w:iCs/>
                <w:sz w:val="20"/>
                <w:szCs w:val="20"/>
              </w:rPr>
            </w:pPr>
            <w:r>
              <w:rPr>
                <w:i/>
                <w:iCs/>
                <w:sz w:val="20"/>
                <w:szCs w:val="20"/>
              </w:rPr>
              <w:t>15 300 000,00</w:t>
            </w:r>
          </w:p>
        </w:tc>
        <w:tc>
          <w:tcPr>
            <w:tcW w:w="1779" w:type="dxa"/>
            <w:tcBorders>
              <w:top w:val="nil"/>
              <w:left w:val="nil"/>
              <w:bottom w:val="single" w:sz="8" w:space="0" w:color="auto"/>
              <w:right w:val="single" w:sz="8" w:space="0" w:color="auto"/>
            </w:tcBorders>
            <w:shd w:val="clear" w:color="auto" w:fill="auto"/>
            <w:vAlign w:val="center"/>
            <w:hideMark/>
          </w:tcPr>
          <w:p w14:paraId="6EEEA70B" w14:textId="77777777" w:rsidR="00E60C69" w:rsidRDefault="00E60C69">
            <w:pPr>
              <w:jc w:val="center"/>
              <w:rPr>
                <w:i/>
                <w:iCs/>
                <w:sz w:val="20"/>
                <w:szCs w:val="20"/>
              </w:rPr>
            </w:pPr>
            <w:r>
              <w:rPr>
                <w:i/>
                <w:iCs/>
                <w:sz w:val="20"/>
                <w:szCs w:val="20"/>
              </w:rPr>
              <w:t>15 400 000,00</w:t>
            </w:r>
          </w:p>
        </w:tc>
        <w:tc>
          <w:tcPr>
            <w:tcW w:w="1779" w:type="dxa"/>
            <w:tcBorders>
              <w:top w:val="nil"/>
              <w:left w:val="nil"/>
              <w:bottom w:val="single" w:sz="8" w:space="0" w:color="auto"/>
              <w:right w:val="single" w:sz="8" w:space="0" w:color="auto"/>
            </w:tcBorders>
            <w:shd w:val="clear" w:color="auto" w:fill="auto"/>
            <w:vAlign w:val="center"/>
            <w:hideMark/>
          </w:tcPr>
          <w:p w14:paraId="548B38EC" w14:textId="77777777" w:rsidR="00E60C69" w:rsidRDefault="00E60C69">
            <w:pPr>
              <w:jc w:val="center"/>
              <w:rPr>
                <w:i/>
                <w:iCs/>
                <w:sz w:val="20"/>
                <w:szCs w:val="20"/>
              </w:rPr>
            </w:pPr>
            <w:r>
              <w:rPr>
                <w:i/>
                <w:iCs/>
                <w:sz w:val="20"/>
                <w:szCs w:val="20"/>
              </w:rPr>
              <w:t>15 500 000,00</w:t>
            </w:r>
          </w:p>
        </w:tc>
      </w:tr>
      <w:tr w:rsidR="00E60C69" w14:paraId="146C2766"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51BD037" w14:textId="77777777" w:rsidR="00E60C69" w:rsidRPr="00E60C69" w:rsidRDefault="00E60C69">
            <w:pPr>
              <w:rPr>
                <w:sz w:val="18"/>
                <w:szCs w:val="18"/>
              </w:rPr>
            </w:pPr>
            <w:r w:rsidRPr="00E60C69">
              <w:rPr>
                <w:sz w:val="18"/>
                <w:szCs w:val="18"/>
              </w:rPr>
              <w:t>B.V.2.</w:t>
            </w:r>
          </w:p>
        </w:tc>
        <w:tc>
          <w:tcPr>
            <w:tcW w:w="2219" w:type="dxa"/>
            <w:tcBorders>
              <w:top w:val="nil"/>
              <w:left w:val="nil"/>
              <w:bottom w:val="single" w:sz="8" w:space="0" w:color="auto"/>
              <w:right w:val="single" w:sz="8" w:space="0" w:color="auto"/>
            </w:tcBorders>
            <w:shd w:val="clear" w:color="000000" w:fill="FFFFFF"/>
            <w:vAlign w:val="center"/>
            <w:hideMark/>
          </w:tcPr>
          <w:p w14:paraId="670F91F0" w14:textId="77777777" w:rsidR="00E60C69" w:rsidRPr="00E60C69" w:rsidRDefault="00E60C69">
            <w:pPr>
              <w:rPr>
                <w:sz w:val="18"/>
                <w:szCs w:val="18"/>
              </w:rPr>
            </w:pPr>
            <w:r w:rsidRPr="00E60C69">
              <w:rPr>
                <w:sz w:val="18"/>
                <w:szCs w:val="18"/>
              </w:rPr>
              <w:t>wynagrodzenia z umów zleceń i o dzieło</w:t>
            </w:r>
          </w:p>
        </w:tc>
        <w:tc>
          <w:tcPr>
            <w:tcW w:w="1739" w:type="dxa"/>
            <w:tcBorders>
              <w:top w:val="nil"/>
              <w:left w:val="nil"/>
              <w:bottom w:val="single" w:sz="8" w:space="0" w:color="auto"/>
              <w:right w:val="single" w:sz="8" w:space="0" w:color="auto"/>
            </w:tcBorders>
            <w:shd w:val="clear" w:color="auto" w:fill="auto"/>
            <w:vAlign w:val="center"/>
            <w:hideMark/>
          </w:tcPr>
          <w:p w14:paraId="5B5E9AB9" w14:textId="77777777" w:rsidR="00E60C69" w:rsidRDefault="00E60C69">
            <w:pPr>
              <w:jc w:val="center"/>
              <w:rPr>
                <w:i/>
                <w:iCs/>
                <w:sz w:val="20"/>
                <w:szCs w:val="20"/>
              </w:rPr>
            </w:pPr>
            <w:r>
              <w:rPr>
                <w:i/>
                <w:iCs/>
                <w:sz w:val="20"/>
                <w:szCs w:val="20"/>
              </w:rPr>
              <w:t>380 000,00</w:t>
            </w:r>
          </w:p>
        </w:tc>
        <w:tc>
          <w:tcPr>
            <w:tcW w:w="1779" w:type="dxa"/>
            <w:tcBorders>
              <w:top w:val="nil"/>
              <w:left w:val="nil"/>
              <w:bottom w:val="single" w:sz="8" w:space="0" w:color="auto"/>
              <w:right w:val="single" w:sz="8" w:space="0" w:color="auto"/>
            </w:tcBorders>
            <w:shd w:val="clear" w:color="auto" w:fill="auto"/>
            <w:vAlign w:val="center"/>
            <w:hideMark/>
          </w:tcPr>
          <w:p w14:paraId="576292AF" w14:textId="77777777" w:rsidR="00E60C69" w:rsidRDefault="00E60C69">
            <w:pPr>
              <w:jc w:val="center"/>
              <w:rPr>
                <w:i/>
                <w:iCs/>
                <w:sz w:val="20"/>
                <w:szCs w:val="20"/>
              </w:rPr>
            </w:pPr>
            <w:r>
              <w:rPr>
                <w:i/>
                <w:iCs/>
                <w:sz w:val="20"/>
                <w:szCs w:val="20"/>
              </w:rPr>
              <w:t>350 000,00</w:t>
            </w:r>
          </w:p>
        </w:tc>
        <w:tc>
          <w:tcPr>
            <w:tcW w:w="1779" w:type="dxa"/>
            <w:tcBorders>
              <w:top w:val="nil"/>
              <w:left w:val="nil"/>
              <w:bottom w:val="single" w:sz="8" w:space="0" w:color="auto"/>
              <w:right w:val="single" w:sz="8" w:space="0" w:color="auto"/>
            </w:tcBorders>
            <w:shd w:val="clear" w:color="auto" w:fill="auto"/>
            <w:vAlign w:val="center"/>
            <w:hideMark/>
          </w:tcPr>
          <w:p w14:paraId="7BA2177E" w14:textId="77777777" w:rsidR="00E60C69" w:rsidRDefault="00E60C69">
            <w:pPr>
              <w:jc w:val="center"/>
              <w:rPr>
                <w:i/>
                <w:iCs/>
                <w:sz w:val="20"/>
                <w:szCs w:val="20"/>
              </w:rPr>
            </w:pPr>
            <w:r>
              <w:rPr>
                <w:i/>
                <w:iCs/>
                <w:sz w:val="20"/>
                <w:szCs w:val="20"/>
              </w:rPr>
              <w:t>350 000,00</w:t>
            </w:r>
          </w:p>
        </w:tc>
      </w:tr>
      <w:tr w:rsidR="00E60C69" w14:paraId="52E03328" w14:textId="77777777" w:rsidTr="00E60C69">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43039D1" w14:textId="77777777" w:rsidR="00E60C69" w:rsidRPr="00E60C69" w:rsidRDefault="00E60C69">
            <w:pPr>
              <w:rPr>
                <w:sz w:val="18"/>
                <w:szCs w:val="18"/>
              </w:rPr>
            </w:pPr>
            <w:r w:rsidRPr="00E60C69">
              <w:rPr>
                <w:sz w:val="18"/>
                <w:szCs w:val="18"/>
              </w:rPr>
              <w:lastRenderedPageBreak/>
              <w:t>B.V.3.</w:t>
            </w:r>
          </w:p>
        </w:tc>
        <w:tc>
          <w:tcPr>
            <w:tcW w:w="2219" w:type="dxa"/>
            <w:tcBorders>
              <w:top w:val="nil"/>
              <w:left w:val="nil"/>
              <w:bottom w:val="single" w:sz="8" w:space="0" w:color="auto"/>
              <w:right w:val="single" w:sz="8" w:space="0" w:color="auto"/>
            </w:tcBorders>
            <w:shd w:val="clear" w:color="000000" w:fill="FFFFFF"/>
            <w:vAlign w:val="center"/>
            <w:hideMark/>
          </w:tcPr>
          <w:p w14:paraId="1926BE86" w14:textId="77777777" w:rsidR="00E60C69" w:rsidRPr="00E60C69" w:rsidRDefault="00E60C69">
            <w:pPr>
              <w:rPr>
                <w:sz w:val="18"/>
                <w:szCs w:val="18"/>
              </w:rPr>
            </w:pPr>
            <w:r w:rsidRPr="00E60C69">
              <w:rPr>
                <w:sz w:val="18"/>
                <w:szCs w:val="18"/>
              </w:rPr>
              <w:t>wynagrodzenia pozostałe</w:t>
            </w:r>
          </w:p>
        </w:tc>
        <w:tc>
          <w:tcPr>
            <w:tcW w:w="1739" w:type="dxa"/>
            <w:tcBorders>
              <w:top w:val="nil"/>
              <w:left w:val="nil"/>
              <w:bottom w:val="single" w:sz="8" w:space="0" w:color="auto"/>
              <w:right w:val="single" w:sz="8" w:space="0" w:color="auto"/>
            </w:tcBorders>
            <w:shd w:val="clear" w:color="auto" w:fill="auto"/>
            <w:vAlign w:val="center"/>
            <w:hideMark/>
          </w:tcPr>
          <w:p w14:paraId="7E67EBF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3D4B2BB"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1D992C4" w14:textId="77777777" w:rsidR="00E60C69" w:rsidRDefault="00E60C69">
            <w:pPr>
              <w:jc w:val="center"/>
              <w:rPr>
                <w:i/>
                <w:iCs/>
                <w:sz w:val="20"/>
                <w:szCs w:val="20"/>
              </w:rPr>
            </w:pPr>
            <w:r>
              <w:rPr>
                <w:i/>
                <w:iCs/>
                <w:sz w:val="20"/>
                <w:szCs w:val="20"/>
              </w:rPr>
              <w:t>0,00</w:t>
            </w:r>
          </w:p>
        </w:tc>
      </w:tr>
      <w:tr w:rsidR="00E60C69" w14:paraId="2906B3DB"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E176A15" w14:textId="77777777" w:rsidR="00E60C69" w:rsidRPr="00E60C69" w:rsidRDefault="00E60C69">
            <w:pPr>
              <w:rPr>
                <w:sz w:val="18"/>
                <w:szCs w:val="18"/>
              </w:rPr>
            </w:pPr>
            <w:r w:rsidRPr="00E60C69">
              <w:rPr>
                <w:sz w:val="18"/>
                <w:szCs w:val="18"/>
              </w:rPr>
              <w:t>B.VI.</w:t>
            </w:r>
          </w:p>
        </w:tc>
        <w:tc>
          <w:tcPr>
            <w:tcW w:w="2219" w:type="dxa"/>
            <w:tcBorders>
              <w:top w:val="nil"/>
              <w:left w:val="nil"/>
              <w:bottom w:val="single" w:sz="8" w:space="0" w:color="auto"/>
              <w:right w:val="single" w:sz="8" w:space="0" w:color="auto"/>
            </w:tcBorders>
            <w:shd w:val="clear" w:color="000000" w:fill="FFFFFF"/>
            <w:vAlign w:val="center"/>
            <w:hideMark/>
          </w:tcPr>
          <w:p w14:paraId="634D9EB0" w14:textId="77777777" w:rsidR="00E60C69" w:rsidRPr="00E60C69" w:rsidRDefault="00E60C69">
            <w:pPr>
              <w:rPr>
                <w:sz w:val="18"/>
                <w:szCs w:val="18"/>
              </w:rPr>
            </w:pPr>
            <w:r w:rsidRPr="00E60C69">
              <w:rPr>
                <w:sz w:val="18"/>
                <w:szCs w:val="18"/>
              </w:rPr>
              <w:t xml:space="preserve"> Ubezpieczenia społeczne i inne świadczenia, w tym:</w:t>
            </w:r>
          </w:p>
        </w:tc>
        <w:tc>
          <w:tcPr>
            <w:tcW w:w="1739" w:type="dxa"/>
            <w:tcBorders>
              <w:top w:val="nil"/>
              <w:left w:val="nil"/>
              <w:bottom w:val="single" w:sz="8" w:space="0" w:color="auto"/>
              <w:right w:val="single" w:sz="8" w:space="0" w:color="auto"/>
            </w:tcBorders>
            <w:shd w:val="clear" w:color="auto" w:fill="auto"/>
            <w:vAlign w:val="center"/>
            <w:hideMark/>
          </w:tcPr>
          <w:p w14:paraId="33CDB7E8" w14:textId="77777777" w:rsidR="00E60C69" w:rsidRDefault="00E60C69">
            <w:pPr>
              <w:jc w:val="center"/>
              <w:rPr>
                <w:i/>
                <w:iCs/>
                <w:sz w:val="20"/>
                <w:szCs w:val="20"/>
              </w:rPr>
            </w:pPr>
            <w:r>
              <w:rPr>
                <w:i/>
                <w:iCs/>
                <w:sz w:val="20"/>
                <w:szCs w:val="20"/>
              </w:rPr>
              <w:t>3 230 000,00</w:t>
            </w:r>
          </w:p>
        </w:tc>
        <w:tc>
          <w:tcPr>
            <w:tcW w:w="1779" w:type="dxa"/>
            <w:tcBorders>
              <w:top w:val="nil"/>
              <w:left w:val="nil"/>
              <w:bottom w:val="single" w:sz="8" w:space="0" w:color="auto"/>
              <w:right w:val="single" w:sz="8" w:space="0" w:color="auto"/>
            </w:tcBorders>
            <w:shd w:val="clear" w:color="auto" w:fill="auto"/>
            <w:vAlign w:val="center"/>
            <w:hideMark/>
          </w:tcPr>
          <w:p w14:paraId="7614FD52" w14:textId="77777777" w:rsidR="00E60C69" w:rsidRDefault="00E60C69">
            <w:pPr>
              <w:jc w:val="center"/>
              <w:rPr>
                <w:i/>
                <w:iCs/>
                <w:sz w:val="20"/>
                <w:szCs w:val="20"/>
              </w:rPr>
            </w:pPr>
            <w:r>
              <w:rPr>
                <w:i/>
                <w:iCs/>
                <w:sz w:val="20"/>
                <w:szCs w:val="20"/>
              </w:rPr>
              <w:t>3 300 000,00</w:t>
            </w:r>
          </w:p>
        </w:tc>
        <w:tc>
          <w:tcPr>
            <w:tcW w:w="1779" w:type="dxa"/>
            <w:tcBorders>
              <w:top w:val="nil"/>
              <w:left w:val="nil"/>
              <w:bottom w:val="single" w:sz="8" w:space="0" w:color="auto"/>
              <w:right w:val="single" w:sz="8" w:space="0" w:color="auto"/>
            </w:tcBorders>
            <w:shd w:val="clear" w:color="auto" w:fill="auto"/>
            <w:vAlign w:val="center"/>
            <w:hideMark/>
          </w:tcPr>
          <w:p w14:paraId="1E471BEA" w14:textId="77777777" w:rsidR="00E60C69" w:rsidRDefault="00E60C69">
            <w:pPr>
              <w:jc w:val="center"/>
              <w:rPr>
                <w:i/>
                <w:iCs/>
                <w:sz w:val="20"/>
                <w:szCs w:val="20"/>
              </w:rPr>
            </w:pPr>
            <w:r>
              <w:rPr>
                <w:i/>
                <w:iCs/>
                <w:sz w:val="20"/>
                <w:szCs w:val="20"/>
              </w:rPr>
              <w:t>3 400 000,00</w:t>
            </w:r>
          </w:p>
        </w:tc>
      </w:tr>
      <w:tr w:rsidR="00E60C69" w14:paraId="7E18253D"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12E95DB"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733795FF" w14:textId="77777777" w:rsidR="00E60C69" w:rsidRPr="00E60C69" w:rsidRDefault="00E60C69">
            <w:pPr>
              <w:rPr>
                <w:sz w:val="18"/>
                <w:szCs w:val="18"/>
              </w:rPr>
            </w:pPr>
            <w:r w:rsidRPr="00E60C69">
              <w:rPr>
                <w:sz w:val="18"/>
                <w:szCs w:val="18"/>
              </w:rPr>
              <w:t>- składki na ubezpieczenia społeczne</w:t>
            </w:r>
          </w:p>
        </w:tc>
        <w:tc>
          <w:tcPr>
            <w:tcW w:w="1739" w:type="dxa"/>
            <w:tcBorders>
              <w:top w:val="nil"/>
              <w:left w:val="nil"/>
              <w:bottom w:val="single" w:sz="8" w:space="0" w:color="auto"/>
              <w:right w:val="single" w:sz="8" w:space="0" w:color="auto"/>
            </w:tcBorders>
            <w:shd w:val="clear" w:color="auto" w:fill="auto"/>
            <w:vAlign w:val="center"/>
            <w:hideMark/>
          </w:tcPr>
          <w:p w14:paraId="3682549F" w14:textId="77777777" w:rsidR="00E60C69" w:rsidRDefault="00E60C69">
            <w:pPr>
              <w:jc w:val="center"/>
              <w:rPr>
                <w:i/>
                <w:iCs/>
                <w:sz w:val="20"/>
                <w:szCs w:val="20"/>
              </w:rPr>
            </w:pPr>
            <w:r>
              <w:rPr>
                <w:i/>
                <w:iCs/>
                <w:sz w:val="20"/>
                <w:szCs w:val="20"/>
              </w:rPr>
              <w:t>2 970 000,00</w:t>
            </w:r>
          </w:p>
        </w:tc>
        <w:tc>
          <w:tcPr>
            <w:tcW w:w="1779" w:type="dxa"/>
            <w:tcBorders>
              <w:top w:val="nil"/>
              <w:left w:val="nil"/>
              <w:bottom w:val="single" w:sz="8" w:space="0" w:color="auto"/>
              <w:right w:val="single" w:sz="8" w:space="0" w:color="auto"/>
            </w:tcBorders>
            <w:shd w:val="clear" w:color="auto" w:fill="auto"/>
            <w:vAlign w:val="center"/>
            <w:hideMark/>
          </w:tcPr>
          <w:p w14:paraId="40F515E1" w14:textId="77777777" w:rsidR="00E60C69" w:rsidRDefault="00E60C69">
            <w:pPr>
              <w:jc w:val="center"/>
              <w:rPr>
                <w:i/>
                <w:iCs/>
                <w:sz w:val="20"/>
                <w:szCs w:val="20"/>
              </w:rPr>
            </w:pPr>
            <w:r>
              <w:rPr>
                <w:i/>
                <w:iCs/>
                <w:sz w:val="20"/>
                <w:szCs w:val="20"/>
              </w:rPr>
              <w:t>3 040 000,00</w:t>
            </w:r>
          </w:p>
        </w:tc>
        <w:tc>
          <w:tcPr>
            <w:tcW w:w="1779" w:type="dxa"/>
            <w:tcBorders>
              <w:top w:val="nil"/>
              <w:left w:val="nil"/>
              <w:bottom w:val="single" w:sz="8" w:space="0" w:color="auto"/>
              <w:right w:val="single" w:sz="8" w:space="0" w:color="auto"/>
            </w:tcBorders>
            <w:shd w:val="clear" w:color="auto" w:fill="auto"/>
            <w:vAlign w:val="center"/>
            <w:hideMark/>
          </w:tcPr>
          <w:p w14:paraId="15552278" w14:textId="77777777" w:rsidR="00E60C69" w:rsidRDefault="00E60C69">
            <w:pPr>
              <w:jc w:val="center"/>
              <w:rPr>
                <w:i/>
                <w:iCs/>
                <w:sz w:val="20"/>
                <w:szCs w:val="20"/>
              </w:rPr>
            </w:pPr>
            <w:r>
              <w:rPr>
                <w:i/>
                <w:iCs/>
                <w:sz w:val="20"/>
                <w:szCs w:val="20"/>
              </w:rPr>
              <w:t>3 050 000,00</w:t>
            </w:r>
          </w:p>
        </w:tc>
      </w:tr>
      <w:tr w:rsidR="00E60C69" w14:paraId="68ECC405"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F599895"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2B3F7D0C" w14:textId="77777777" w:rsidR="00E60C69" w:rsidRPr="00E60C69" w:rsidRDefault="00E60C69">
            <w:pPr>
              <w:rPr>
                <w:sz w:val="18"/>
                <w:szCs w:val="18"/>
              </w:rPr>
            </w:pPr>
            <w:r w:rsidRPr="00E60C69">
              <w:rPr>
                <w:sz w:val="18"/>
                <w:szCs w:val="18"/>
              </w:rPr>
              <w:t>- składki na fundusz pracy</w:t>
            </w:r>
          </w:p>
        </w:tc>
        <w:tc>
          <w:tcPr>
            <w:tcW w:w="1739" w:type="dxa"/>
            <w:tcBorders>
              <w:top w:val="nil"/>
              <w:left w:val="nil"/>
              <w:bottom w:val="single" w:sz="8" w:space="0" w:color="auto"/>
              <w:right w:val="single" w:sz="8" w:space="0" w:color="auto"/>
            </w:tcBorders>
            <w:shd w:val="clear" w:color="auto" w:fill="auto"/>
            <w:vAlign w:val="center"/>
            <w:hideMark/>
          </w:tcPr>
          <w:p w14:paraId="3DAD0502" w14:textId="77777777" w:rsidR="00E60C69" w:rsidRDefault="00E60C69">
            <w:pPr>
              <w:jc w:val="center"/>
              <w:rPr>
                <w:i/>
                <w:iCs/>
                <w:sz w:val="20"/>
                <w:szCs w:val="20"/>
              </w:rPr>
            </w:pPr>
            <w:r>
              <w:rPr>
                <w:i/>
                <w:iCs/>
                <w:sz w:val="20"/>
                <w:szCs w:val="20"/>
              </w:rPr>
              <w:t>220 800,00</w:t>
            </w:r>
          </w:p>
        </w:tc>
        <w:tc>
          <w:tcPr>
            <w:tcW w:w="1779" w:type="dxa"/>
            <w:tcBorders>
              <w:top w:val="nil"/>
              <w:left w:val="nil"/>
              <w:bottom w:val="single" w:sz="8" w:space="0" w:color="auto"/>
              <w:right w:val="single" w:sz="8" w:space="0" w:color="auto"/>
            </w:tcBorders>
            <w:shd w:val="clear" w:color="auto" w:fill="auto"/>
            <w:vAlign w:val="center"/>
            <w:hideMark/>
          </w:tcPr>
          <w:p w14:paraId="31A5FACA" w14:textId="77777777" w:rsidR="00E60C69" w:rsidRDefault="00E60C69">
            <w:pPr>
              <w:jc w:val="center"/>
              <w:rPr>
                <w:i/>
                <w:iCs/>
                <w:sz w:val="20"/>
                <w:szCs w:val="20"/>
              </w:rPr>
            </w:pPr>
            <w:r>
              <w:rPr>
                <w:i/>
                <w:iCs/>
                <w:sz w:val="20"/>
                <w:szCs w:val="20"/>
              </w:rPr>
              <w:t>235 000,00</w:t>
            </w:r>
          </w:p>
        </w:tc>
        <w:tc>
          <w:tcPr>
            <w:tcW w:w="1779" w:type="dxa"/>
            <w:tcBorders>
              <w:top w:val="nil"/>
              <w:left w:val="nil"/>
              <w:bottom w:val="single" w:sz="8" w:space="0" w:color="auto"/>
              <w:right w:val="single" w:sz="8" w:space="0" w:color="auto"/>
            </w:tcBorders>
            <w:shd w:val="clear" w:color="auto" w:fill="auto"/>
            <w:vAlign w:val="center"/>
            <w:hideMark/>
          </w:tcPr>
          <w:p w14:paraId="4792E1C9" w14:textId="77777777" w:rsidR="00E60C69" w:rsidRDefault="00E60C69">
            <w:pPr>
              <w:jc w:val="center"/>
              <w:rPr>
                <w:i/>
                <w:iCs/>
                <w:sz w:val="20"/>
                <w:szCs w:val="20"/>
              </w:rPr>
            </w:pPr>
            <w:r>
              <w:rPr>
                <w:i/>
                <w:iCs/>
                <w:sz w:val="20"/>
                <w:szCs w:val="20"/>
              </w:rPr>
              <w:t>240 000,00</w:t>
            </w:r>
          </w:p>
        </w:tc>
      </w:tr>
      <w:tr w:rsidR="00E60C69" w14:paraId="685167EC"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E28D226"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5F12EFF1" w14:textId="77777777" w:rsidR="00E60C69" w:rsidRPr="00E60C69" w:rsidRDefault="00E60C69">
            <w:pPr>
              <w:rPr>
                <w:sz w:val="18"/>
                <w:szCs w:val="18"/>
              </w:rPr>
            </w:pPr>
            <w:r w:rsidRPr="00E60C69">
              <w:rPr>
                <w:sz w:val="18"/>
                <w:szCs w:val="18"/>
              </w:rPr>
              <w:t xml:space="preserve"> - składki na Fundusz Emerytur Pomostowych</w:t>
            </w:r>
          </w:p>
        </w:tc>
        <w:tc>
          <w:tcPr>
            <w:tcW w:w="1739" w:type="dxa"/>
            <w:tcBorders>
              <w:top w:val="nil"/>
              <w:left w:val="nil"/>
              <w:bottom w:val="single" w:sz="8" w:space="0" w:color="auto"/>
              <w:right w:val="single" w:sz="8" w:space="0" w:color="auto"/>
            </w:tcBorders>
            <w:shd w:val="clear" w:color="auto" w:fill="auto"/>
            <w:vAlign w:val="center"/>
            <w:hideMark/>
          </w:tcPr>
          <w:p w14:paraId="748BDF38"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4FF4C0C"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11546FE" w14:textId="77777777" w:rsidR="00E60C69" w:rsidRDefault="00E60C69">
            <w:pPr>
              <w:jc w:val="center"/>
              <w:rPr>
                <w:i/>
                <w:iCs/>
                <w:sz w:val="20"/>
                <w:szCs w:val="20"/>
              </w:rPr>
            </w:pPr>
            <w:r>
              <w:rPr>
                <w:i/>
                <w:iCs/>
                <w:sz w:val="20"/>
                <w:szCs w:val="20"/>
              </w:rPr>
              <w:t>0,00</w:t>
            </w:r>
          </w:p>
        </w:tc>
      </w:tr>
      <w:tr w:rsidR="00E60C69" w14:paraId="36CDFD8F"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60CA6EC" w14:textId="77777777" w:rsidR="00E60C69" w:rsidRPr="00E60C69" w:rsidRDefault="00E60C69">
            <w:pPr>
              <w:rPr>
                <w:sz w:val="18"/>
                <w:szCs w:val="18"/>
              </w:rPr>
            </w:pPr>
            <w:r w:rsidRPr="00E60C69">
              <w:rPr>
                <w:sz w:val="18"/>
                <w:szCs w:val="18"/>
              </w:rPr>
              <w:t>B.VII.</w:t>
            </w:r>
          </w:p>
        </w:tc>
        <w:tc>
          <w:tcPr>
            <w:tcW w:w="2219" w:type="dxa"/>
            <w:tcBorders>
              <w:top w:val="nil"/>
              <w:left w:val="nil"/>
              <w:bottom w:val="single" w:sz="8" w:space="0" w:color="auto"/>
              <w:right w:val="single" w:sz="8" w:space="0" w:color="auto"/>
            </w:tcBorders>
            <w:shd w:val="clear" w:color="000000" w:fill="FFFFFF"/>
            <w:vAlign w:val="center"/>
            <w:hideMark/>
          </w:tcPr>
          <w:p w14:paraId="7E6C6B92" w14:textId="77777777" w:rsidR="00E60C69" w:rsidRPr="00E60C69" w:rsidRDefault="00E60C69">
            <w:pPr>
              <w:rPr>
                <w:sz w:val="18"/>
                <w:szCs w:val="18"/>
              </w:rPr>
            </w:pPr>
            <w:r w:rsidRPr="00E60C69">
              <w:rPr>
                <w:sz w:val="18"/>
                <w:szCs w:val="18"/>
              </w:rPr>
              <w:t xml:space="preserve"> Pozostałe koszty rodzajowe</w:t>
            </w:r>
          </w:p>
        </w:tc>
        <w:tc>
          <w:tcPr>
            <w:tcW w:w="1739" w:type="dxa"/>
            <w:tcBorders>
              <w:top w:val="nil"/>
              <w:left w:val="nil"/>
              <w:bottom w:val="single" w:sz="8" w:space="0" w:color="auto"/>
              <w:right w:val="single" w:sz="8" w:space="0" w:color="auto"/>
            </w:tcBorders>
            <w:shd w:val="clear" w:color="auto" w:fill="auto"/>
            <w:vAlign w:val="center"/>
            <w:hideMark/>
          </w:tcPr>
          <w:p w14:paraId="2067B6F4" w14:textId="77777777" w:rsidR="00E60C69" w:rsidRDefault="00E60C69">
            <w:pPr>
              <w:jc w:val="center"/>
              <w:rPr>
                <w:i/>
                <w:iCs/>
                <w:sz w:val="20"/>
                <w:szCs w:val="20"/>
              </w:rPr>
            </w:pPr>
            <w:r>
              <w:rPr>
                <w:i/>
                <w:iCs/>
                <w:sz w:val="20"/>
                <w:szCs w:val="20"/>
              </w:rPr>
              <w:t>46 000,00</w:t>
            </w:r>
          </w:p>
        </w:tc>
        <w:tc>
          <w:tcPr>
            <w:tcW w:w="1779" w:type="dxa"/>
            <w:tcBorders>
              <w:top w:val="nil"/>
              <w:left w:val="nil"/>
              <w:bottom w:val="single" w:sz="8" w:space="0" w:color="auto"/>
              <w:right w:val="single" w:sz="8" w:space="0" w:color="auto"/>
            </w:tcBorders>
            <w:shd w:val="clear" w:color="auto" w:fill="auto"/>
            <w:vAlign w:val="center"/>
            <w:hideMark/>
          </w:tcPr>
          <w:p w14:paraId="45E26C4E" w14:textId="77777777" w:rsidR="00E60C69" w:rsidRDefault="00E60C69">
            <w:pPr>
              <w:jc w:val="center"/>
              <w:rPr>
                <w:i/>
                <w:iCs/>
                <w:sz w:val="20"/>
                <w:szCs w:val="20"/>
              </w:rPr>
            </w:pPr>
            <w:r>
              <w:rPr>
                <w:i/>
                <w:iCs/>
                <w:sz w:val="20"/>
                <w:szCs w:val="20"/>
              </w:rPr>
              <w:t>46 000,00</w:t>
            </w:r>
          </w:p>
        </w:tc>
        <w:tc>
          <w:tcPr>
            <w:tcW w:w="1779" w:type="dxa"/>
            <w:tcBorders>
              <w:top w:val="nil"/>
              <w:left w:val="nil"/>
              <w:bottom w:val="single" w:sz="8" w:space="0" w:color="auto"/>
              <w:right w:val="single" w:sz="8" w:space="0" w:color="auto"/>
            </w:tcBorders>
            <w:shd w:val="clear" w:color="auto" w:fill="auto"/>
            <w:vAlign w:val="center"/>
            <w:hideMark/>
          </w:tcPr>
          <w:p w14:paraId="1A61D8FC" w14:textId="77777777" w:rsidR="00E60C69" w:rsidRDefault="00E60C69">
            <w:pPr>
              <w:jc w:val="center"/>
              <w:rPr>
                <w:i/>
                <w:iCs/>
                <w:sz w:val="20"/>
                <w:szCs w:val="20"/>
              </w:rPr>
            </w:pPr>
            <w:r>
              <w:rPr>
                <w:i/>
                <w:iCs/>
                <w:sz w:val="20"/>
                <w:szCs w:val="20"/>
              </w:rPr>
              <w:t>46 000,00</w:t>
            </w:r>
          </w:p>
        </w:tc>
      </w:tr>
      <w:tr w:rsidR="00E60C69" w14:paraId="7088B193"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78531C4"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000000" w:fill="FFFFFF"/>
            <w:vAlign w:val="center"/>
            <w:hideMark/>
          </w:tcPr>
          <w:p w14:paraId="6BD2E55F" w14:textId="77777777" w:rsidR="00E60C69" w:rsidRPr="00E60C69" w:rsidRDefault="00E60C69">
            <w:pPr>
              <w:rPr>
                <w:sz w:val="18"/>
                <w:szCs w:val="18"/>
              </w:rPr>
            </w:pPr>
            <w:r w:rsidRPr="00E60C69">
              <w:rPr>
                <w:sz w:val="18"/>
                <w:szCs w:val="18"/>
              </w:rPr>
              <w:t xml:space="preserve"> - w tym podróże służbowe</w:t>
            </w:r>
          </w:p>
        </w:tc>
        <w:tc>
          <w:tcPr>
            <w:tcW w:w="1739" w:type="dxa"/>
            <w:tcBorders>
              <w:top w:val="nil"/>
              <w:left w:val="nil"/>
              <w:bottom w:val="single" w:sz="8" w:space="0" w:color="auto"/>
              <w:right w:val="single" w:sz="8" w:space="0" w:color="auto"/>
            </w:tcBorders>
            <w:shd w:val="clear" w:color="auto" w:fill="auto"/>
            <w:vAlign w:val="center"/>
            <w:hideMark/>
          </w:tcPr>
          <w:p w14:paraId="14B65E0F" w14:textId="77777777" w:rsidR="00E60C69" w:rsidRDefault="00E60C69">
            <w:pPr>
              <w:jc w:val="center"/>
              <w:rPr>
                <w:i/>
                <w:iCs/>
                <w:sz w:val="20"/>
                <w:szCs w:val="20"/>
              </w:rPr>
            </w:pPr>
            <w:r>
              <w:rPr>
                <w:i/>
                <w:iCs/>
                <w:sz w:val="20"/>
                <w:szCs w:val="20"/>
              </w:rPr>
              <w:t>8 000,00</w:t>
            </w:r>
          </w:p>
        </w:tc>
        <w:tc>
          <w:tcPr>
            <w:tcW w:w="1779" w:type="dxa"/>
            <w:tcBorders>
              <w:top w:val="nil"/>
              <w:left w:val="nil"/>
              <w:bottom w:val="single" w:sz="8" w:space="0" w:color="auto"/>
              <w:right w:val="single" w:sz="8" w:space="0" w:color="auto"/>
            </w:tcBorders>
            <w:shd w:val="clear" w:color="auto" w:fill="auto"/>
            <w:vAlign w:val="center"/>
            <w:hideMark/>
          </w:tcPr>
          <w:p w14:paraId="33431255" w14:textId="77777777" w:rsidR="00E60C69" w:rsidRDefault="00E60C69">
            <w:pPr>
              <w:jc w:val="center"/>
              <w:rPr>
                <w:i/>
                <w:iCs/>
                <w:sz w:val="20"/>
                <w:szCs w:val="20"/>
              </w:rPr>
            </w:pPr>
            <w:r>
              <w:rPr>
                <w:i/>
                <w:iCs/>
                <w:sz w:val="20"/>
                <w:szCs w:val="20"/>
              </w:rPr>
              <w:t>8 000,00</w:t>
            </w:r>
          </w:p>
        </w:tc>
        <w:tc>
          <w:tcPr>
            <w:tcW w:w="1779" w:type="dxa"/>
            <w:tcBorders>
              <w:top w:val="nil"/>
              <w:left w:val="nil"/>
              <w:bottom w:val="single" w:sz="8" w:space="0" w:color="auto"/>
              <w:right w:val="single" w:sz="8" w:space="0" w:color="auto"/>
            </w:tcBorders>
            <w:shd w:val="clear" w:color="auto" w:fill="auto"/>
            <w:vAlign w:val="center"/>
            <w:hideMark/>
          </w:tcPr>
          <w:p w14:paraId="2F231927" w14:textId="77777777" w:rsidR="00E60C69" w:rsidRDefault="00E60C69">
            <w:pPr>
              <w:jc w:val="center"/>
              <w:rPr>
                <w:i/>
                <w:iCs/>
                <w:sz w:val="20"/>
                <w:szCs w:val="20"/>
              </w:rPr>
            </w:pPr>
            <w:r>
              <w:rPr>
                <w:i/>
                <w:iCs/>
                <w:sz w:val="20"/>
                <w:szCs w:val="20"/>
              </w:rPr>
              <w:t>8 000,00</w:t>
            </w:r>
          </w:p>
        </w:tc>
      </w:tr>
      <w:tr w:rsidR="00E60C69" w14:paraId="22483F0D" w14:textId="77777777" w:rsidTr="00E60C69">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7114E63" w14:textId="77777777" w:rsidR="00E60C69" w:rsidRPr="00E60C69" w:rsidRDefault="00E60C69">
            <w:pPr>
              <w:rPr>
                <w:sz w:val="18"/>
                <w:szCs w:val="18"/>
              </w:rPr>
            </w:pPr>
            <w:r w:rsidRPr="00E60C69">
              <w:rPr>
                <w:sz w:val="18"/>
                <w:szCs w:val="18"/>
              </w:rPr>
              <w:t>B.VIII.</w:t>
            </w:r>
          </w:p>
        </w:tc>
        <w:tc>
          <w:tcPr>
            <w:tcW w:w="2219" w:type="dxa"/>
            <w:tcBorders>
              <w:top w:val="nil"/>
              <w:left w:val="nil"/>
              <w:bottom w:val="single" w:sz="8" w:space="0" w:color="auto"/>
              <w:right w:val="single" w:sz="8" w:space="0" w:color="auto"/>
            </w:tcBorders>
            <w:shd w:val="clear" w:color="000000" w:fill="FFFFFF"/>
            <w:vAlign w:val="center"/>
            <w:hideMark/>
          </w:tcPr>
          <w:p w14:paraId="7DF8FAB6" w14:textId="77777777" w:rsidR="00E60C69" w:rsidRPr="00E60C69" w:rsidRDefault="00E60C69">
            <w:pPr>
              <w:rPr>
                <w:sz w:val="18"/>
                <w:szCs w:val="18"/>
              </w:rPr>
            </w:pPr>
            <w:r w:rsidRPr="00E60C69">
              <w:rPr>
                <w:sz w:val="18"/>
                <w:szCs w:val="18"/>
              </w:rPr>
              <w:t xml:space="preserve"> Wartość sprzedanych towarów i materiałów</w:t>
            </w:r>
          </w:p>
        </w:tc>
        <w:tc>
          <w:tcPr>
            <w:tcW w:w="1739" w:type="dxa"/>
            <w:tcBorders>
              <w:top w:val="nil"/>
              <w:left w:val="nil"/>
              <w:bottom w:val="single" w:sz="8" w:space="0" w:color="auto"/>
              <w:right w:val="single" w:sz="8" w:space="0" w:color="auto"/>
            </w:tcBorders>
            <w:shd w:val="clear" w:color="auto" w:fill="auto"/>
            <w:vAlign w:val="center"/>
            <w:hideMark/>
          </w:tcPr>
          <w:p w14:paraId="53B714A6" w14:textId="77777777" w:rsidR="00E60C69" w:rsidRDefault="00E60C69">
            <w:pPr>
              <w:jc w:val="center"/>
              <w:rPr>
                <w:i/>
                <w:iCs/>
                <w:sz w:val="20"/>
                <w:szCs w:val="20"/>
              </w:rPr>
            </w:pPr>
            <w:r>
              <w:rPr>
                <w:i/>
                <w:iCs/>
                <w:sz w:val="20"/>
                <w:szCs w:val="20"/>
              </w:rPr>
              <w:t>6 700,00</w:t>
            </w:r>
          </w:p>
        </w:tc>
        <w:tc>
          <w:tcPr>
            <w:tcW w:w="1779" w:type="dxa"/>
            <w:tcBorders>
              <w:top w:val="nil"/>
              <w:left w:val="nil"/>
              <w:bottom w:val="single" w:sz="8" w:space="0" w:color="auto"/>
              <w:right w:val="single" w:sz="8" w:space="0" w:color="auto"/>
            </w:tcBorders>
            <w:shd w:val="clear" w:color="auto" w:fill="auto"/>
            <w:vAlign w:val="center"/>
            <w:hideMark/>
          </w:tcPr>
          <w:p w14:paraId="319FF9F3" w14:textId="77777777" w:rsidR="00E60C69" w:rsidRDefault="00E60C69">
            <w:pPr>
              <w:jc w:val="center"/>
              <w:rPr>
                <w:i/>
                <w:iCs/>
                <w:sz w:val="20"/>
                <w:szCs w:val="20"/>
              </w:rPr>
            </w:pPr>
            <w:r>
              <w:rPr>
                <w:i/>
                <w:iCs/>
                <w:sz w:val="20"/>
                <w:szCs w:val="20"/>
              </w:rPr>
              <w:t>6 700,00</w:t>
            </w:r>
          </w:p>
        </w:tc>
        <w:tc>
          <w:tcPr>
            <w:tcW w:w="1779" w:type="dxa"/>
            <w:tcBorders>
              <w:top w:val="nil"/>
              <w:left w:val="nil"/>
              <w:bottom w:val="single" w:sz="8" w:space="0" w:color="auto"/>
              <w:right w:val="single" w:sz="8" w:space="0" w:color="auto"/>
            </w:tcBorders>
            <w:shd w:val="clear" w:color="auto" w:fill="auto"/>
            <w:vAlign w:val="center"/>
            <w:hideMark/>
          </w:tcPr>
          <w:p w14:paraId="6144AA5B" w14:textId="77777777" w:rsidR="00E60C69" w:rsidRDefault="00E60C69">
            <w:pPr>
              <w:jc w:val="center"/>
              <w:rPr>
                <w:i/>
                <w:iCs/>
                <w:sz w:val="20"/>
                <w:szCs w:val="20"/>
              </w:rPr>
            </w:pPr>
            <w:r>
              <w:rPr>
                <w:i/>
                <w:iCs/>
                <w:sz w:val="20"/>
                <w:szCs w:val="20"/>
              </w:rPr>
              <w:t>6 700,00</w:t>
            </w:r>
          </w:p>
        </w:tc>
      </w:tr>
      <w:tr w:rsidR="00E60C69" w14:paraId="23A38D04"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48A78EF8" w14:textId="77777777" w:rsidR="00E60C69" w:rsidRPr="00E60C69" w:rsidRDefault="00E60C69">
            <w:pPr>
              <w:rPr>
                <w:b/>
                <w:bCs/>
                <w:sz w:val="18"/>
                <w:szCs w:val="18"/>
              </w:rPr>
            </w:pPr>
            <w:r w:rsidRPr="00E60C69">
              <w:rPr>
                <w:b/>
                <w:bCs/>
                <w:sz w:val="18"/>
                <w:szCs w:val="18"/>
              </w:rPr>
              <w:t>C.</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F24913D" w14:textId="77777777" w:rsidR="00E60C69" w:rsidRPr="00E60C69" w:rsidRDefault="00E60C69">
            <w:pPr>
              <w:rPr>
                <w:b/>
                <w:bCs/>
                <w:sz w:val="18"/>
                <w:szCs w:val="18"/>
              </w:rPr>
            </w:pPr>
            <w:r w:rsidRPr="00E60C69">
              <w:rPr>
                <w:b/>
                <w:bCs/>
                <w:sz w:val="18"/>
                <w:szCs w:val="18"/>
              </w:rPr>
              <w:t xml:space="preserve"> Zysk (strata) ze sprzedaży (A–B)</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18E4C680" w14:textId="77777777" w:rsidR="00E60C69" w:rsidRDefault="00E60C69">
            <w:pPr>
              <w:jc w:val="center"/>
              <w:rPr>
                <w:b/>
                <w:bCs/>
                <w:i/>
                <w:iCs/>
                <w:sz w:val="20"/>
                <w:szCs w:val="20"/>
              </w:rPr>
            </w:pPr>
            <w:r>
              <w:rPr>
                <w:b/>
                <w:bCs/>
                <w:i/>
                <w:iCs/>
                <w:sz w:val="20"/>
                <w:szCs w:val="20"/>
              </w:rPr>
              <w:t>-1 235 700,00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1B9FE136" w14:textId="77777777" w:rsidR="00E60C69" w:rsidRDefault="00E60C69">
            <w:pPr>
              <w:jc w:val="center"/>
              <w:rPr>
                <w:b/>
                <w:bCs/>
                <w:i/>
                <w:iCs/>
                <w:sz w:val="20"/>
                <w:szCs w:val="20"/>
              </w:rPr>
            </w:pPr>
            <w:r>
              <w:rPr>
                <w:b/>
                <w:bCs/>
                <w:i/>
                <w:iCs/>
                <w:sz w:val="20"/>
                <w:szCs w:val="20"/>
              </w:rPr>
              <w:t>-1 042 700,00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F8F9DBF" w14:textId="77777777" w:rsidR="00E60C69" w:rsidRDefault="00E60C69">
            <w:pPr>
              <w:jc w:val="center"/>
              <w:rPr>
                <w:b/>
                <w:bCs/>
                <w:i/>
                <w:iCs/>
                <w:sz w:val="20"/>
                <w:szCs w:val="20"/>
              </w:rPr>
            </w:pPr>
            <w:r>
              <w:rPr>
                <w:b/>
                <w:bCs/>
                <w:i/>
                <w:iCs/>
                <w:sz w:val="20"/>
                <w:szCs w:val="20"/>
              </w:rPr>
              <w:t>-892 700,00</w:t>
            </w:r>
          </w:p>
        </w:tc>
      </w:tr>
      <w:tr w:rsidR="00E60C69" w14:paraId="1C67F627"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465AA1E" w14:textId="77777777" w:rsidR="00E60C69" w:rsidRPr="00E60C69" w:rsidRDefault="00E60C69">
            <w:pPr>
              <w:rPr>
                <w:b/>
                <w:bCs/>
                <w:sz w:val="18"/>
                <w:szCs w:val="18"/>
              </w:rPr>
            </w:pPr>
            <w:r w:rsidRPr="00E60C69">
              <w:rPr>
                <w:b/>
                <w:bCs/>
                <w:sz w:val="18"/>
                <w:szCs w:val="18"/>
              </w:rPr>
              <w:t>D.</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B3C2EAB" w14:textId="77777777" w:rsidR="00E60C69" w:rsidRPr="00E60C69" w:rsidRDefault="00E60C69">
            <w:pPr>
              <w:rPr>
                <w:b/>
                <w:bCs/>
                <w:sz w:val="18"/>
                <w:szCs w:val="18"/>
              </w:rPr>
            </w:pPr>
            <w:r w:rsidRPr="00E60C69">
              <w:rPr>
                <w:b/>
                <w:bCs/>
                <w:sz w:val="18"/>
                <w:szCs w:val="18"/>
              </w:rPr>
              <w:t xml:space="preserve"> Pozostałe przychody operacyjne</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2ED733EF" w14:textId="77777777" w:rsidR="00E60C69" w:rsidRDefault="00E60C69">
            <w:pPr>
              <w:jc w:val="center"/>
              <w:rPr>
                <w:b/>
                <w:bCs/>
                <w:i/>
                <w:iCs/>
                <w:sz w:val="20"/>
                <w:szCs w:val="20"/>
              </w:rPr>
            </w:pPr>
            <w:r>
              <w:rPr>
                <w:b/>
                <w:bCs/>
                <w:i/>
                <w:iCs/>
                <w:sz w:val="20"/>
                <w:szCs w:val="20"/>
              </w:rPr>
              <w:t>929 100,00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10F01B30" w14:textId="77777777" w:rsidR="00E60C69" w:rsidRDefault="00E60C69">
            <w:pPr>
              <w:jc w:val="center"/>
              <w:rPr>
                <w:b/>
                <w:bCs/>
                <w:i/>
                <w:iCs/>
                <w:sz w:val="20"/>
                <w:szCs w:val="20"/>
              </w:rPr>
            </w:pPr>
            <w:r>
              <w:rPr>
                <w:b/>
                <w:bCs/>
                <w:i/>
                <w:iCs/>
                <w:sz w:val="20"/>
                <w:szCs w:val="20"/>
              </w:rPr>
              <w:t>900 000,00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664FBF3A" w14:textId="77777777" w:rsidR="00E60C69" w:rsidRDefault="00E60C69">
            <w:pPr>
              <w:jc w:val="center"/>
              <w:rPr>
                <w:b/>
                <w:bCs/>
                <w:i/>
                <w:iCs/>
                <w:sz w:val="20"/>
                <w:szCs w:val="20"/>
              </w:rPr>
            </w:pPr>
            <w:r>
              <w:rPr>
                <w:b/>
                <w:bCs/>
                <w:i/>
                <w:iCs/>
                <w:sz w:val="20"/>
                <w:szCs w:val="20"/>
              </w:rPr>
              <w:t>950 000,00</w:t>
            </w:r>
          </w:p>
        </w:tc>
      </w:tr>
      <w:tr w:rsidR="00E60C69" w14:paraId="0C3E24FE"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B5B0717" w14:textId="77777777" w:rsidR="00E60C69" w:rsidRPr="00E60C69" w:rsidRDefault="00E60C69">
            <w:pPr>
              <w:rPr>
                <w:sz w:val="18"/>
                <w:szCs w:val="18"/>
              </w:rPr>
            </w:pPr>
            <w:proofErr w:type="spellStart"/>
            <w:r w:rsidRPr="00E60C69">
              <w:rPr>
                <w:sz w:val="18"/>
                <w:szCs w:val="18"/>
              </w:rPr>
              <w:t>D.l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4E2BDDCA" w14:textId="77777777" w:rsidR="00E60C69" w:rsidRPr="00E60C69" w:rsidRDefault="00E60C69">
            <w:pPr>
              <w:rPr>
                <w:sz w:val="18"/>
                <w:szCs w:val="18"/>
              </w:rPr>
            </w:pPr>
            <w:r w:rsidRPr="00E60C69">
              <w:rPr>
                <w:sz w:val="18"/>
                <w:szCs w:val="18"/>
              </w:rPr>
              <w:t xml:space="preserve"> Zysk z tytułu rozchodu niefinansowych aktywów trwałych</w:t>
            </w:r>
          </w:p>
        </w:tc>
        <w:tc>
          <w:tcPr>
            <w:tcW w:w="1739" w:type="dxa"/>
            <w:tcBorders>
              <w:top w:val="nil"/>
              <w:left w:val="nil"/>
              <w:bottom w:val="single" w:sz="8" w:space="0" w:color="auto"/>
              <w:right w:val="single" w:sz="8" w:space="0" w:color="auto"/>
            </w:tcBorders>
            <w:shd w:val="clear" w:color="auto" w:fill="auto"/>
            <w:vAlign w:val="center"/>
            <w:hideMark/>
          </w:tcPr>
          <w:p w14:paraId="03E85F76"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04A2D384"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599116B" w14:textId="77777777" w:rsidR="00E60C69" w:rsidRDefault="00E60C69">
            <w:pPr>
              <w:jc w:val="center"/>
              <w:rPr>
                <w:i/>
                <w:iCs/>
                <w:sz w:val="20"/>
                <w:szCs w:val="20"/>
              </w:rPr>
            </w:pPr>
            <w:r>
              <w:rPr>
                <w:i/>
                <w:iCs/>
                <w:sz w:val="20"/>
                <w:szCs w:val="20"/>
              </w:rPr>
              <w:t>0,00</w:t>
            </w:r>
          </w:p>
        </w:tc>
      </w:tr>
      <w:tr w:rsidR="00E60C69" w14:paraId="4F9FDFCA"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71DE623" w14:textId="77777777" w:rsidR="00E60C69" w:rsidRPr="00E60C69" w:rsidRDefault="00E60C69">
            <w:pPr>
              <w:rPr>
                <w:sz w:val="18"/>
                <w:szCs w:val="18"/>
              </w:rPr>
            </w:pPr>
            <w:r w:rsidRPr="00E60C69">
              <w:rPr>
                <w:sz w:val="18"/>
                <w:szCs w:val="18"/>
              </w:rPr>
              <w:t>D.II.</w:t>
            </w:r>
          </w:p>
        </w:tc>
        <w:tc>
          <w:tcPr>
            <w:tcW w:w="2219" w:type="dxa"/>
            <w:tcBorders>
              <w:top w:val="nil"/>
              <w:left w:val="nil"/>
              <w:bottom w:val="single" w:sz="8" w:space="0" w:color="auto"/>
              <w:right w:val="single" w:sz="8" w:space="0" w:color="auto"/>
            </w:tcBorders>
            <w:shd w:val="clear" w:color="auto" w:fill="auto"/>
            <w:vAlign w:val="center"/>
            <w:hideMark/>
          </w:tcPr>
          <w:p w14:paraId="61129997" w14:textId="77777777" w:rsidR="00E60C69" w:rsidRPr="00E60C69" w:rsidRDefault="00E60C69">
            <w:pPr>
              <w:rPr>
                <w:sz w:val="18"/>
                <w:szCs w:val="18"/>
              </w:rPr>
            </w:pPr>
            <w:r w:rsidRPr="00E60C69">
              <w:rPr>
                <w:sz w:val="18"/>
                <w:szCs w:val="18"/>
              </w:rPr>
              <w:t xml:space="preserve"> Dotacje, w tym:</w:t>
            </w:r>
          </w:p>
        </w:tc>
        <w:tc>
          <w:tcPr>
            <w:tcW w:w="1739" w:type="dxa"/>
            <w:tcBorders>
              <w:top w:val="nil"/>
              <w:left w:val="nil"/>
              <w:bottom w:val="single" w:sz="8" w:space="0" w:color="auto"/>
              <w:right w:val="single" w:sz="8" w:space="0" w:color="auto"/>
            </w:tcBorders>
            <w:shd w:val="clear" w:color="auto" w:fill="auto"/>
            <w:vAlign w:val="center"/>
            <w:hideMark/>
          </w:tcPr>
          <w:p w14:paraId="219B1DA2"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6CC9948"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0221394D" w14:textId="77777777" w:rsidR="00E60C69" w:rsidRDefault="00E60C69">
            <w:pPr>
              <w:jc w:val="center"/>
              <w:rPr>
                <w:i/>
                <w:iCs/>
                <w:sz w:val="20"/>
                <w:szCs w:val="20"/>
              </w:rPr>
            </w:pPr>
            <w:r>
              <w:rPr>
                <w:i/>
                <w:iCs/>
                <w:sz w:val="20"/>
                <w:szCs w:val="20"/>
              </w:rPr>
              <w:t>0,00</w:t>
            </w:r>
          </w:p>
        </w:tc>
      </w:tr>
      <w:tr w:rsidR="00E60C69" w14:paraId="3CE1854C"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35937A7"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50B8E865" w14:textId="77777777" w:rsidR="00E60C69" w:rsidRPr="00E60C69" w:rsidRDefault="00E60C69">
            <w:pPr>
              <w:rPr>
                <w:sz w:val="18"/>
                <w:szCs w:val="18"/>
              </w:rPr>
            </w:pPr>
            <w:r w:rsidRPr="00E60C69">
              <w:rPr>
                <w:sz w:val="18"/>
                <w:szCs w:val="18"/>
              </w:rPr>
              <w:t>- dotacje z budżetu państwa</w:t>
            </w:r>
          </w:p>
        </w:tc>
        <w:tc>
          <w:tcPr>
            <w:tcW w:w="1739" w:type="dxa"/>
            <w:tcBorders>
              <w:top w:val="nil"/>
              <w:left w:val="nil"/>
              <w:bottom w:val="single" w:sz="8" w:space="0" w:color="auto"/>
              <w:right w:val="single" w:sz="8" w:space="0" w:color="auto"/>
            </w:tcBorders>
            <w:shd w:val="clear" w:color="auto" w:fill="auto"/>
            <w:vAlign w:val="center"/>
            <w:hideMark/>
          </w:tcPr>
          <w:p w14:paraId="60B845A7"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8550524"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0B2F805" w14:textId="77777777" w:rsidR="00E60C69" w:rsidRDefault="00E60C69">
            <w:pPr>
              <w:jc w:val="center"/>
              <w:rPr>
                <w:i/>
                <w:iCs/>
                <w:sz w:val="20"/>
                <w:szCs w:val="20"/>
              </w:rPr>
            </w:pPr>
            <w:r>
              <w:rPr>
                <w:i/>
                <w:iCs/>
                <w:sz w:val="20"/>
                <w:szCs w:val="20"/>
              </w:rPr>
              <w:t>0,00</w:t>
            </w:r>
          </w:p>
        </w:tc>
      </w:tr>
      <w:tr w:rsidR="00E60C69" w14:paraId="0A818638"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32C39844"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14B53283" w14:textId="77777777" w:rsidR="00E60C69" w:rsidRPr="00E60C69" w:rsidRDefault="00E60C69">
            <w:pPr>
              <w:rPr>
                <w:sz w:val="18"/>
                <w:szCs w:val="18"/>
              </w:rPr>
            </w:pPr>
            <w:r w:rsidRPr="00E60C69">
              <w:rPr>
                <w:sz w:val="18"/>
                <w:szCs w:val="18"/>
              </w:rPr>
              <w:t>- dotacje  z jednostek samorządu terytorialnego</w:t>
            </w:r>
          </w:p>
        </w:tc>
        <w:tc>
          <w:tcPr>
            <w:tcW w:w="1739" w:type="dxa"/>
            <w:tcBorders>
              <w:top w:val="nil"/>
              <w:left w:val="nil"/>
              <w:bottom w:val="single" w:sz="8" w:space="0" w:color="auto"/>
              <w:right w:val="single" w:sz="8" w:space="0" w:color="auto"/>
            </w:tcBorders>
            <w:shd w:val="clear" w:color="auto" w:fill="auto"/>
            <w:vAlign w:val="center"/>
            <w:hideMark/>
          </w:tcPr>
          <w:p w14:paraId="065F7BD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81EE66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47A14EC" w14:textId="77777777" w:rsidR="00E60C69" w:rsidRDefault="00E60C69">
            <w:pPr>
              <w:jc w:val="center"/>
              <w:rPr>
                <w:i/>
                <w:iCs/>
                <w:sz w:val="20"/>
                <w:szCs w:val="20"/>
              </w:rPr>
            </w:pPr>
            <w:r>
              <w:rPr>
                <w:i/>
                <w:iCs/>
                <w:sz w:val="20"/>
                <w:szCs w:val="20"/>
              </w:rPr>
              <w:t>0,00</w:t>
            </w:r>
          </w:p>
        </w:tc>
      </w:tr>
      <w:tr w:rsidR="00E60C69" w14:paraId="4C276271"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606B5C9" w14:textId="77777777" w:rsidR="00E60C69" w:rsidRPr="00E60C69" w:rsidRDefault="00E60C69">
            <w:pPr>
              <w:rPr>
                <w:sz w:val="18"/>
                <w:szCs w:val="18"/>
              </w:rPr>
            </w:pPr>
            <w:r w:rsidRPr="00E60C69">
              <w:rPr>
                <w:sz w:val="18"/>
                <w:szCs w:val="18"/>
              </w:rPr>
              <w:t xml:space="preserve">D.III. </w:t>
            </w:r>
          </w:p>
        </w:tc>
        <w:tc>
          <w:tcPr>
            <w:tcW w:w="2219" w:type="dxa"/>
            <w:tcBorders>
              <w:top w:val="nil"/>
              <w:left w:val="nil"/>
              <w:bottom w:val="single" w:sz="8" w:space="0" w:color="auto"/>
              <w:right w:val="single" w:sz="8" w:space="0" w:color="auto"/>
            </w:tcBorders>
            <w:shd w:val="clear" w:color="auto" w:fill="auto"/>
            <w:vAlign w:val="center"/>
            <w:hideMark/>
          </w:tcPr>
          <w:p w14:paraId="6A78B6A2" w14:textId="77777777" w:rsidR="00E60C69" w:rsidRPr="00E60C69" w:rsidRDefault="00E60C69">
            <w:pPr>
              <w:rPr>
                <w:sz w:val="18"/>
                <w:szCs w:val="18"/>
              </w:rPr>
            </w:pPr>
            <w:r w:rsidRPr="00E60C69">
              <w:rPr>
                <w:sz w:val="18"/>
                <w:szCs w:val="18"/>
              </w:rPr>
              <w:t>Aktualizacja wartości aktywów niefinansowych</w:t>
            </w:r>
          </w:p>
        </w:tc>
        <w:tc>
          <w:tcPr>
            <w:tcW w:w="1739" w:type="dxa"/>
            <w:tcBorders>
              <w:top w:val="nil"/>
              <w:left w:val="nil"/>
              <w:bottom w:val="single" w:sz="8" w:space="0" w:color="auto"/>
              <w:right w:val="single" w:sz="8" w:space="0" w:color="auto"/>
            </w:tcBorders>
            <w:shd w:val="clear" w:color="auto" w:fill="auto"/>
            <w:vAlign w:val="center"/>
            <w:hideMark/>
          </w:tcPr>
          <w:p w14:paraId="34036428"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01261D50"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E3F442E" w14:textId="77777777" w:rsidR="00E60C69" w:rsidRDefault="00E60C69">
            <w:pPr>
              <w:jc w:val="center"/>
              <w:rPr>
                <w:i/>
                <w:iCs/>
                <w:sz w:val="20"/>
                <w:szCs w:val="20"/>
              </w:rPr>
            </w:pPr>
            <w:r>
              <w:rPr>
                <w:i/>
                <w:iCs/>
                <w:sz w:val="20"/>
                <w:szCs w:val="20"/>
              </w:rPr>
              <w:t>0,00</w:t>
            </w:r>
          </w:p>
        </w:tc>
      </w:tr>
      <w:tr w:rsidR="00E60C69" w14:paraId="1634F0A2"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DF86434" w14:textId="77777777" w:rsidR="00E60C69" w:rsidRPr="00E60C69" w:rsidRDefault="00E60C69">
            <w:pPr>
              <w:rPr>
                <w:sz w:val="18"/>
                <w:szCs w:val="18"/>
              </w:rPr>
            </w:pPr>
            <w:r w:rsidRPr="00E60C69">
              <w:rPr>
                <w:sz w:val="18"/>
                <w:szCs w:val="18"/>
              </w:rPr>
              <w:t xml:space="preserve">D.IV. </w:t>
            </w:r>
          </w:p>
        </w:tc>
        <w:tc>
          <w:tcPr>
            <w:tcW w:w="2219" w:type="dxa"/>
            <w:tcBorders>
              <w:top w:val="nil"/>
              <w:left w:val="nil"/>
              <w:bottom w:val="single" w:sz="8" w:space="0" w:color="auto"/>
              <w:right w:val="single" w:sz="8" w:space="0" w:color="auto"/>
            </w:tcBorders>
            <w:shd w:val="clear" w:color="auto" w:fill="auto"/>
            <w:vAlign w:val="center"/>
            <w:hideMark/>
          </w:tcPr>
          <w:p w14:paraId="5D28E446" w14:textId="77777777" w:rsidR="00E60C69" w:rsidRPr="00E60C69" w:rsidRDefault="00E60C69">
            <w:pPr>
              <w:rPr>
                <w:sz w:val="18"/>
                <w:szCs w:val="18"/>
              </w:rPr>
            </w:pPr>
            <w:r w:rsidRPr="00E60C69">
              <w:rPr>
                <w:sz w:val="18"/>
                <w:szCs w:val="18"/>
              </w:rPr>
              <w:t>Inne przychody operacyjne, w tym:</w:t>
            </w:r>
          </w:p>
        </w:tc>
        <w:tc>
          <w:tcPr>
            <w:tcW w:w="1739" w:type="dxa"/>
            <w:tcBorders>
              <w:top w:val="nil"/>
              <w:left w:val="nil"/>
              <w:bottom w:val="single" w:sz="8" w:space="0" w:color="auto"/>
              <w:right w:val="single" w:sz="8" w:space="0" w:color="auto"/>
            </w:tcBorders>
            <w:shd w:val="clear" w:color="auto" w:fill="auto"/>
            <w:vAlign w:val="center"/>
            <w:hideMark/>
          </w:tcPr>
          <w:p w14:paraId="04CA32EA" w14:textId="77777777" w:rsidR="00E60C69" w:rsidRDefault="00E60C69">
            <w:pPr>
              <w:jc w:val="center"/>
              <w:rPr>
                <w:i/>
                <w:iCs/>
                <w:sz w:val="20"/>
                <w:szCs w:val="20"/>
              </w:rPr>
            </w:pPr>
            <w:r>
              <w:rPr>
                <w:i/>
                <w:iCs/>
                <w:sz w:val="20"/>
                <w:szCs w:val="20"/>
              </w:rPr>
              <w:t>929 100,00</w:t>
            </w:r>
          </w:p>
        </w:tc>
        <w:tc>
          <w:tcPr>
            <w:tcW w:w="1779" w:type="dxa"/>
            <w:tcBorders>
              <w:top w:val="nil"/>
              <w:left w:val="nil"/>
              <w:bottom w:val="single" w:sz="8" w:space="0" w:color="auto"/>
              <w:right w:val="single" w:sz="8" w:space="0" w:color="auto"/>
            </w:tcBorders>
            <w:shd w:val="clear" w:color="auto" w:fill="auto"/>
            <w:vAlign w:val="center"/>
            <w:hideMark/>
          </w:tcPr>
          <w:p w14:paraId="5C0FFA8C" w14:textId="77777777" w:rsidR="00E60C69" w:rsidRDefault="00E60C69">
            <w:pPr>
              <w:jc w:val="center"/>
              <w:rPr>
                <w:i/>
                <w:iCs/>
                <w:sz w:val="20"/>
                <w:szCs w:val="20"/>
              </w:rPr>
            </w:pPr>
            <w:r>
              <w:rPr>
                <w:i/>
                <w:iCs/>
                <w:sz w:val="20"/>
                <w:szCs w:val="20"/>
              </w:rPr>
              <w:t>900 000,00</w:t>
            </w:r>
          </w:p>
        </w:tc>
        <w:tc>
          <w:tcPr>
            <w:tcW w:w="1779" w:type="dxa"/>
            <w:tcBorders>
              <w:top w:val="nil"/>
              <w:left w:val="nil"/>
              <w:bottom w:val="single" w:sz="8" w:space="0" w:color="auto"/>
              <w:right w:val="single" w:sz="8" w:space="0" w:color="auto"/>
            </w:tcBorders>
            <w:shd w:val="clear" w:color="auto" w:fill="auto"/>
            <w:vAlign w:val="center"/>
            <w:hideMark/>
          </w:tcPr>
          <w:p w14:paraId="6C0BA7E5" w14:textId="77777777" w:rsidR="00E60C69" w:rsidRDefault="00E60C69">
            <w:pPr>
              <w:jc w:val="center"/>
              <w:rPr>
                <w:i/>
                <w:iCs/>
                <w:sz w:val="20"/>
                <w:szCs w:val="20"/>
              </w:rPr>
            </w:pPr>
            <w:r>
              <w:rPr>
                <w:i/>
                <w:iCs/>
                <w:sz w:val="20"/>
                <w:szCs w:val="20"/>
              </w:rPr>
              <w:t>950 000,00</w:t>
            </w:r>
          </w:p>
        </w:tc>
      </w:tr>
      <w:tr w:rsidR="00E60C69" w14:paraId="159D6BAD"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80034D2"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0AF71816" w14:textId="77777777" w:rsidR="00E60C69" w:rsidRPr="00E60C69" w:rsidRDefault="00E60C69">
            <w:pPr>
              <w:rPr>
                <w:sz w:val="18"/>
                <w:szCs w:val="18"/>
              </w:rPr>
            </w:pPr>
            <w:r w:rsidRPr="00E60C69">
              <w:rPr>
                <w:sz w:val="18"/>
                <w:szCs w:val="18"/>
              </w:rPr>
              <w:t>- bezzwrotne środki zagraniczne</w:t>
            </w:r>
          </w:p>
        </w:tc>
        <w:tc>
          <w:tcPr>
            <w:tcW w:w="1739" w:type="dxa"/>
            <w:tcBorders>
              <w:top w:val="nil"/>
              <w:left w:val="nil"/>
              <w:bottom w:val="single" w:sz="8" w:space="0" w:color="auto"/>
              <w:right w:val="single" w:sz="8" w:space="0" w:color="auto"/>
            </w:tcBorders>
            <w:shd w:val="clear" w:color="auto" w:fill="auto"/>
            <w:vAlign w:val="center"/>
            <w:hideMark/>
          </w:tcPr>
          <w:p w14:paraId="4463B58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0378BA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DF470F0" w14:textId="77777777" w:rsidR="00E60C69" w:rsidRDefault="00E60C69">
            <w:pPr>
              <w:jc w:val="center"/>
              <w:rPr>
                <w:i/>
                <w:iCs/>
                <w:sz w:val="20"/>
                <w:szCs w:val="20"/>
              </w:rPr>
            </w:pPr>
            <w:r>
              <w:rPr>
                <w:i/>
                <w:iCs/>
                <w:sz w:val="20"/>
                <w:szCs w:val="20"/>
              </w:rPr>
              <w:t>0,00</w:t>
            </w:r>
          </w:p>
        </w:tc>
      </w:tr>
      <w:tr w:rsidR="00E60C69" w14:paraId="579365E8" w14:textId="77777777" w:rsidTr="00E60C69">
        <w:trPr>
          <w:trHeight w:val="205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3388012" w14:textId="77777777" w:rsidR="00E60C69" w:rsidRPr="00E60C69" w:rsidRDefault="00E60C69">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39962388" w14:textId="77777777" w:rsidR="00E60C69" w:rsidRPr="00E60C69" w:rsidRDefault="00E60C69">
            <w:pPr>
              <w:rPr>
                <w:sz w:val="18"/>
                <w:szCs w:val="18"/>
              </w:rPr>
            </w:pPr>
            <w:r w:rsidRPr="00E60C69">
              <w:rPr>
                <w:sz w:val="18"/>
                <w:szCs w:val="18"/>
              </w:rPr>
              <w:t>- równowartość rocznych odpisów amortyzacyjnych  środków trwałych oraz wartości niematerialnych i prawnych sfinansowanych z dotacji celowych</w:t>
            </w:r>
          </w:p>
        </w:tc>
        <w:tc>
          <w:tcPr>
            <w:tcW w:w="1739" w:type="dxa"/>
            <w:tcBorders>
              <w:top w:val="nil"/>
              <w:left w:val="nil"/>
              <w:bottom w:val="single" w:sz="8" w:space="0" w:color="auto"/>
              <w:right w:val="single" w:sz="8" w:space="0" w:color="auto"/>
            </w:tcBorders>
            <w:shd w:val="clear" w:color="auto" w:fill="auto"/>
            <w:vAlign w:val="center"/>
            <w:hideMark/>
          </w:tcPr>
          <w:p w14:paraId="4FDDEEF3" w14:textId="77777777" w:rsidR="00E60C69" w:rsidRDefault="00E60C69">
            <w:pPr>
              <w:jc w:val="center"/>
              <w:rPr>
                <w:sz w:val="20"/>
                <w:szCs w:val="20"/>
              </w:rPr>
            </w:pPr>
            <w:r>
              <w:rPr>
                <w:sz w:val="20"/>
                <w:szCs w:val="20"/>
              </w:rPr>
              <w:t>827 100,00</w:t>
            </w:r>
          </w:p>
        </w:tc>
        <w:tc>
          <w:tcPr>
            <w:tcW w:w="1779" w:type="dxa"/>
            <w:tcBorders>
              <w:top w:val="nil"/>
              <w:left w:val="nil"/>
              <w:bottom w:val="single" w:sz="8" w:space="0" w:color="auto"/>
              <w:right w:val="single" w:sz="8" w:space="0" w:color="auto"/>
            </w:tcBorders>
            <w:shd w:val="clear" w:color="auto" w:fill="auto"/>
            <w:vAlign w:val="center"/>
            <w:hideMark/>
          </w:tcPr>
          <w:p w14:paraId="1024B241" w14:textId="77777777" w:rsidR="00E60C69" w:rsidRDefault="00E60C69">
            <w:pPr>
              <w:jc w:val="center"/>
              <w:rPr>
                <w:sz w:val="20"/>
                <w:szCs w:val="20"/>
              </w:rPr>
            </w:pPr>
            <w:r>
              <w:rPr>
                <w:sz w:val="20"/>
                <w:szCs w:val="20"/>
              </w:rPr>
              <w:t>800 000,00</w:t>
            </w:r>
          </w:p>
        </w:tc>
        <w:tc>
          <w:tcPr>
            <w:tcW w:w="1779" w:type="dxa"/>
            <w:tcBorders>
              <w:top w:val="nil"/>
              <w:left w:val="nil"/>
              <w:bottom w:val="single" w:sz="8" w:space="0" w:color="auto"/>
              <w:right w:val="single" w:sz="8" w:space="0" w:color="auto"/>
            </w:tcBorders>
            <w:shd w:val="clear" w:color="auto" w:fill="auto"/>
            <w:vAlign w:val="center"/>
            <w:hideMark/>
          </w:tcPr>
          <w:p w14:paraId="6AD71026" w14:textId="77777777" w:rsidR="00E60C69" w:rsidRDefault="00E60C69">
            <w:pPr>
              <w:jc w:val="center"/>
              <w:rPr>
                <w:sz w:val="20"/>
                <w:szCs w:val="20"/>
              </w:rPr>
            </w:pPr>
            <w:r>
              <w:rPr>
                <w:sz w:val="20"/>
                <w:szCs w:val="20"/>
              </w:rPr>
              <w:t>800 000,00</w:t>
            </w:r>
          </w:p>
        </w:tc>
      </w:tr>
      <w:tr w:rsidR="00E60C69" w14:paraId="58C74A69"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4CB968E5" w14:textId="77777777" w:rsidR="00E60C69" w:rsidRPr="00E60C69" w:rsidRDefault="00E60C69">
            <w:pPr>
              <w:rPr>
                <w:b/>
                <w:bCs/>
                <w:sz w:val="18"/>
                <w:szCs w:val="18"/>
              </w:rPr>
            </w:pPr>
            <w:r w:rsidRPr="00E60C69">
              <w:rPr>
                <w:b/>
                <w:bCs/>
                <w:sz w:val="18"/>
                <w:szCs w:val="18"/>
              </w:rPr>
              <w:t>E.</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7FF9FD71" w14:textId="77777777" w:rsidR="00E60C69" w:rsidRPr="00E60C69" w:rsidRDefault="00E60C69">
            <w:pPr>
              <w:rPr>
                <w:b/>
                <w:bCs/>
                <w:sz w:val="18"/>
                <w:szCs w:val="18"/>
              </w:rPr>
            </w:pPr>
            <w:r w:rsidRPr="00E60C69">
              <w:rPr>
                <w:b/>
                <w:bCs/>
                <w:sz w:val="18"/>
                <w:szCs w:val="18"/>
              </w:rPr>
              <w:t xml:space="preserve"> Pozostałe koszty operacyjne</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347CD99A" w14:textId="77777777" w:rsidR="00E60C69" w:rsidRDefault="00E60C69">
            <w:pPr>
              <w:jc w:val="center"/>
              <w:rPr>
                <w:b/>
                <w:bCs/>
                <w:i/>
                <w:iCs/>
                <w:sz w:val="20"/>
                <w:szCs w:val="20"/>
              </w:rPr>
            </w:pPr>
            <w:r>
              <w:rPr>
                <w:b/>
                <w:bCs/>
                <w:i/>
                <w:iCs/>
                <w:sz w:val="20"/>
                <w:szCs w:val="20"/>
              </w:rPr>
              <w:t>41 000,00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34B4C508" w14:textId="77777777" w:rsidR="00E60C69" w:rsidRDefault="00E60C69">
            <w:pPr>
              <w:jc w:val="center"/>
              <w:rPr>
                <w:b/>
                <w:bCs/>
                <w:i/>
                <w:iCs/>
                <w:sz w:val="20"/>
                <w:szCs w:val="20"/>
              </w:rPr>
            </w:pPr>
            <w:r>
              <w:rPr>
                <w:b/>
                <w:bCs/>
                <w:i/>
                <w:iCs/>
                <w:sz w:val="20"/>
                <w:szCs w:val="20"/>
              </w:rPr>
              <w:t>42 000,00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15F7A6D1" w14:textId="77777777" w:rsidR="00E60C69" w:rsidRDefault="00E60C69">
            <w:pPr>
              <w:jc w:val="center"/>
              <w:rPr>
                <w:b/>
                <w:bCs/>
                <w:i/>
                <w:iCs/>
                <w:sz w:val="20"/>
                <w:szCs w:val="20"/>
              </w:rPr>
            </w:pPr>
            <w:r>
              <w:rPr>
                <w:b/>
                <w:bCs/>
                <w:i/>
                <w:iCs/>
                <w:sz w:val="20"/>
                <w:szCs w:val="20"/>
              </w:rPr>
              <w:t>45 000,00</w:t>
            </w:r>
          </w:p>
        </w:tc>
      </w:tr>
      <w:tr w:rsidR="00E60C69" w14:paraId="05231B0D"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07E779B" w14:textId="77777777" w:rsidR="00E60C69" w:rsidRPr="00E60C69" w:rsidRDefault="00E60C69">
            <w:pPr>
              <w:rPr>
                <w:sz w:val="18"/>
                <w:szCs w:val="18"/>
              </w:rPr>
            </w:pPr>
            <w:proofErr w:type="spellStart"/>
            <w:r w:rsidRPr="00E60C69">
              <w:rPr>
                <w:sz w:val="18"/>
                <w:szCs w:val="18"/>
              </w:rPr>
              <w:t>E.l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3EBF70DE" w14:textId="77777777" w:rsidR="00E60C69" w:rsidRPr="00E60C69" w:rsidRDefault="00E60C69">
            <w:pPr>
              <w:rPr>
                <w:sz w:val="18"/>
                <w:szCs w:val="18"/>
              </w:rPr>
            </w:pPr>
            <w:r w:rsidRPr="00E60C69">
              <w:rPr>
                <w:sz w:val="18"/>
                <w:szCs w:val="18"/>
              </w:rPr>
              <w:t xml:space="preserve"> Strata ze zbycia niefinansowych aktywów trwałych</w:t>
            </w:r>
          </w:p>
        </w:tc>
        <w:tc>
          <w:tcPr>
            <w:tcW w:w="1739" w:type="dxa"/>
            <w:tcBorders>
              <w:top w:val="nil"/>
              <w:left w:val="nil"/>
              <w:bottom w:val="single" w:sz="8" w:space="0" w:color="auto"/>
              <w:right w:val="single" w:sz="8" w:space="0" w:color="auto"/>
            </w:tcBorders>
            <w:shd w:val="clear" w:color="000000" w:fill="FFFFFF"/>
            <w:vAlign w:val="center"/>
            <w:hideMark/>
          </w:tcPr>
          <w:p w14:paraId="5159BC5B"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000000" w:fill="FFFFFF"/>
            <w:vAlign w:val="center"/>
            <w:hideMark/>
          </w:tcPr>
          <w:p w14:paraId="7A9BC260"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000000" w:fill="FFFFFF"/>
            <w:vAlign w:val="center"/>
            <w:hideMark/>
          </w:tcPr>
          <w:p w14:paraId="447CDC7A" w14:textId="77777777" w:rsidR="00E60C69" w:rsidRDefault="00E60C69">
            <w:pPr>
              <w:jc w:val="center"/>
              <w:rPr>
                <w:i/>
                <w:iCs/>
                <w:sz w:val="20"/>
                <w:szCs w:val="20"/>
              </w:rPr>
            </w:pPr>
            <w:r>
              <w:rPr>
                <w:i/>
                <w:iCs/>
                <w:sz w:val="20"/>
                <w:szCs w:val="20"/>
              </w:rPr>
              <w:t>0,00</w:t>
            </w:r>
          </w:p>
        </w:tc>
      </w:tr>
      <w:tr w:rsidR="00E60C69" w14:paraId="60FED4D0"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ED17653" w14:textId="77777777" w:rsidR="00E60C69" w:rsidRPr="00E60C69" w:rsidRDefault="00E60C69">
            <w:pPr>
              <w:rPr>
                <w:sz w:val="18"/>
                <w:szCs w:val="18"/>
              </w:rPr>
            </w:pPr>
            <w:r w:rsidRPr="00E60C69">
              <w:rPr>
                <w:sz w:val="18"/>
                <w:szCs w:val="18"/>
              </w:rPr>
              <w:t>E.II.</w:t>
            </w:r>
          </w:p>
        </w:tc>
        <w:tc>
          <w:tcPr>
            <w:tcW w:w="2219" w:type="dxa"/>
            <w:tcBorders>
              <w:top w:val="nil"/>
              <w:left w:val="nil"/>
              <w:bottom w:val="single" w:sz="8" w:space="0" w:color="auto"/>
              <w:right w:val="single" w:sz="8" w:space="0" w:color="auto"/>
            </w:tcBorders>
            <w:shd w:val="clear" w:color="auto" w:fill="auto"/>
            <w:vAlign w:val="center"/>
            <w:hideMark/>
          </w:tcPr>
          <w:p w14:paraId="34B51543" w14:textId="77777777" w:rsidR="00E60C69" w:rsidRPr="00E60C69" w:rsidRDefault="00E60C69">
            <w:pPr>
              <w:rPr>
                <w:sz w:val="18"/>
                <w:szCs w:val="18"/>
              </w:rPr>
            </w:pPr>
            <w:r w:rsidRPr="00E60C69">
              <w:rPr>
                <w:sz w:val="18"/>
                <w:szCs w:val="18"/>
              </w:rPr>
              <w:t xml:space="preserve"> Aktualizacja wartości aktywów niefinansowych</w:t>
            </w:r>
          </w:p>
        </w:tc>
        <w:tc>
          <w:tcPr>
            <w:tcW w:w="1739" w:type="dxa"/>
            <w:tcBorders>
              <w:top w:val="nil"/>
              <w:left w:val="nil"/>
              <w:bottom w:val="single" w:sz="8" w:space="0" w:color="auto"/>
              <w:right w:val="single" w:sz="8" w:space="0" w:color="auto"/>
            </w:tcBorders>
            <w:shd w:val="clear" w:color="000000" w:fill="FFFFFF"/>
            <w:vAlign w:val="center"/>
            <w:hideMark/>
          </w:tcPr>
          <w:p w14:paraId="21FD6D47"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000000" w:fill="FFFFFF"/>
            <w:vAlign w:val="center"/>
            <w:hideMark/>
          </w:tcPr>
          <w:p w14:paraId="125610A4"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000000" w:fill="FFFFFF"/>
            <w:vAlign w:val="center"/>
            <w:hideMark/>
          </w:tcPr>
          <w:p w14:paraId="0AC920DF" w14:textId="77777777" w:rsidR="00E60C69" w:rsidRDefault="00E60C69">
            <w:pPr>
              <w:jc w:val="center"/>
              <w:rPr>
                <w:i/>
                <w:iCs/>
                <w:sz w:val="20"/>
                <w:szCs w:val="20"/>
              </w:rPr>
            </w:pPr>
            <w:r>
              <w:rPr>
                <w:i/>
                <w:iCs/>
                <w:sz w:val="20"/>
                <w:szCs w:val="20"/>
              </w:rPr>
              <w:t>0,00</w:t>
            </w:r>
          </w:p>
        </w:tc>
      </w:tr>
      <w:tr w:rsidR="00E60C69" w14:paraId="55219422"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B372C8B" w14:textId="77777777" w:rsidR="00E60C69" w:rsidRPr="00E60C69" w:rsidRDefault="00E60C69">
            <w:pPr>
              <w:rPr>
                <w:sz w:val="18"/>
                <w:szCs w:val="18"/>
              </w:rPr>
            </w:pPr>
            <w:r w:rsidRPr="00E60C69">
              <w:rPr>
                <w:sz w:val="18"/>
                <w:szCs w:val="18"/>
              </w:rPr>
              <w:lastRenderedPageBreak/>
              <w:t>E.III.</w:t>
            </w:r>
          </w:p>
        </w:tc>
        <w:tc>
          <w:tcPr>
            <w:tcW w:w="2219" w:type="dxa"/>
            <w:tcBorders>
              <w:top w:val="nil"/>
              <w:left w:val="nil"/>
              <w:bottom w:val="single" w:sz="8" w:space="0" w:color="auto"/>
              <w:right w:val="single" w:sz="8" w:space="0" w:color="auto"/>
            </w:tcBorders>
            <w:shd w:val="clear" w:color="auto" w:fill="auto"/>
            <w:vAlign w:val="center"/>
            <w:hideMark/>
          </w:tcPr>
          <w:p w14:paraId="7EB4A96F" w14:textId="77777777" w:rsidR="00E60C69" w:rsidRPr="00E60C69" w:rsidRDefault="00E60C69">
            <w:pPr>
              <w:rPr>
                <w:sz w:val="18"/>
                <w:szCs w:val="18"/>
              </w:rPr>
            </w:pPr>
            <w:r w:rsidRPr="00E60C69">
              <w:rPr>
                <w:sz w:val="18"/>
                <w:szCs w:val="18"/>
              </w:rPr>
              <w:t xml:space="preserve"> Inne koszty operacyjne</w:t>
            </w:r>
          </w:p>
        </w:tc>
        <w:tc>
          <w:tcPr>
            <w:tcW w:w="1739" w:type="dxa"/>
            <w:tcBorders>
              <w:top w:val="nil"/>
              <w:left w:val="nil"/>
              <w:bottom w:val="single" w:sz="8" w:space="0" w:color="auto"/>
              <w:right w:val="single" w:sz="8" w:space="0" w:color="auto"/>
            </w:tcBorders>
            <w:shd w:val="clear" w:color="000000" w:fill="FFFFFF"/>
            <w:vAlign w:val="center"/>
            <w:hideMark/>
          </w:tcPr>
          <w:p w14:paraId="73D4F877" w14:textId="77777777" w:rsidR="00E60C69" w:rsidRDefault="00E60C69">
            <w:pPr>
              <w:jc w:val="center"/>
              <w:rPr>
                <w:i/>
                <w:iCs/>
                <w:sz w:val="20"/>
                <w:szCs w:val="20"/>
              </w:rPr>
            </w:pPr>
            <w:r>
              <w:rPr>
                <w:i/>
                <w:iCs/>
                <w:sz w:val="20"/>
                <w:szCs w:val="20"/>
              </w:rPr>
              <w:t>41 000,00</w:t>
            </w:r>
          </w:p>
        </w:tc>
        <w:tc>
          <w:tcPr>
            <w:tcW w:w="1779" w:type="dxa"/>
            <w:tcBorders>
              <w:top w:val="nil"/>
              <w:left w:val="nil"/>
              <w:bottom w:val="single" w:sz="8" w:space="0" w:color="auto"/>
              <w:right w:val="single" w:sz="8" w:space="0" w:color="auto"/>
            </w:tcBorders>
            <w:shd w:val="clear" w:color="000000" w:fill="FFFFFF"/>
            <w:vAlign w:val="center"/>
            <w:hideMark/>
          </w:tcPr>
          <w:p w14:paraId="4C4CD1DC" w14:textId="77777777" w:rsidR="00E60C69" w:rsidRDefault="00E60C69">
            <w:pPr>
              <w:jc w:val="center"/>
              <w:rPr>
                <w:i/>
                <w:iCs/>
                <w:sz w:val="20"/>
                <w:szCs w:val="20"/>
              </w:rPr>
            </w:pPr>
            <w:r>
              <w:rPr>
                <w:i/>
                <w:iCs/>
                <w:sz w:val="20"/>
                <w:szCs w:val="20"/>
              </w:rPr>
              <w:t>42 000,00</w:t>
            </w:r>
          </w:p>
        </w:tc>
        <w:tc>
          <w:tcPr>
            <w:tcW w:w="1779" w:type="dxa"/>
            <w:tcBorders>
              <w:top w:val="nil"/>
              <w:left w:val="nil"/>
              <w:bottom w:val="single" w:sz="8" w:space="0" w:color="auto"/>
              <w:right w:val="single" w:sz="8" w:space="0" w:color="auto"/>
            </w:tcBorders>
            <w:shd w:val="clear" w:color="000000" w:fill="FFFFFF"/>
            <w:vAlign w:val="center"/>
            <w:hideMark/>
          </w:tcPr>
          <w:p w14:paraId="3A1BBCAA" w14:textId="77777777" w:rsidR="00E60C69" w:rsidRDefault="00E60C69">
            <w:pPr>
              <w:jc w:val="center"/>
              <w:rPr>
                <w:i/>
                <w:iCs/>
                <w:sz w:val="20"/>
                <w:szCs w:val="20"/>
              </w:rPr>
            </w:pPr>
            <w:r>
              <w:rPr>
                <w:i/>
                <w:iCs/>
                <w:sz w:val="20"/>
                <w:szCs w:val="20"/>
              </w:rPr>
              <w:t>45 000,00</w:t>
            </w:r>
          </w:p>
        </w:tc>
      </w:tr>
      <w:tr w:rsidR="00E60C69" w14:paraId="14DE2D90" w14:textId="77777777">
        <w:trPr>
          <w:trHeight w:val="780"/>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043CB60B" w14:textId="77777777" w:rsidR="00E60C69" w:rsidRPr="00E60C69" w:rsidRDefault="00E60C69">
            <w:pPr>
              <w:rPr>
                <w:b/>
                <w:bCs/>
                <w:sz w:val="18"/>
                <w:szCs w:val="18"/>
              </w:rPr>
            </w:pPr>
            <w:r w:rsidRPr="00E60C69">
              <w:rPr>
                <w:b/>
                <w:bCs/>
                <w:sz w:val="18"/>
                <w:szCs w:val="18"/>
              </w:rPr>
              <w:t>F.</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282087BC" w14:textId="77777777" w:rsidR="00E60C69" w:rsidRPr="00E60C69" w:rsidRDefault="00E60C69">
            <w:pPr>
              <w:rPr>
                <w:b/>
                <w:bCs/>
                <w:sz w:val="18"/>
                <w:szCs w:val="18"/>
              </w:rPr>
            </w:pPr>
            <w:r w:rsidRPr="00E60C69">
              <w:rPr>
                <w:b/>
                <w:bCs/>
                <w:sz w:val="18"/>
                <w:szCs w:val="18"/>
              </w:rPr>
              <w:t xml:space="preserve"> Zysk (strata) z działalności operacyjnej (C+D–E)</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0303F292" w14:textId="77777777" w:rsidR="00E60C69" w:rsidRDefault="00E60C69">
            <w:pPr>
              <w:jc w:val="center"/>
              <w:rPr>
                <w:b/>
                <w:bCs/>
                <w:i/>
                <w:iCs/>
                <w:sz w:val="20"/>
                <w:szCs w:val="20"/>
              </w:rPr>
            </w:pPr>
            <w:r>
              <w:rPr>
                <w:b/>
                <w:bCs/>
                <w:i/>
                <w:iCs/>
                <w:sz w:val="20"/>
                <w:szCs w:val="20"/>
              </w:rPr>
              <w:t>-347 600,00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497D7227" w14:textId="77777777" w:rsidR="00E60C69" w:rsidRDefault="00E60C69">
            <w:pPr>
              <w:jc w:val="center"/>
              <w:rPr>
                <w:b/>
                <w:bCs/>
                <w:i/>
                <w:iCs/>
                <w:sz w:val="20"/>
                <w:szCs w:val="20"/>
              </w:rPr>
            </w:pPr>
            <w:r>
              <w:rPr>
                <w:b/>
                <w:bCs/>
                <w:i/>
                <w:iCs/>
                <w:sz w:val="20"/>
                <w:szCs w:val="20"/>
              </w:rPr>
              <w:t>-184 700,00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6C9114F7" w14:textId="77777777" w:rsidR="00E60C69" w:rsidRDefault="00E60C69">
            <w:pPr>
              <w:jc w:val="center"/>
              <w:rPr>
                <w:b/>
                <w:bCs/>
                <w:i/>
                <w:iCs/>
                <w:sz w:val="20"/>
                <w:szCs w:val="20"/>
              </w:rPr>
            </w:pPr>
            <w:r>
              <w:rPr>
                <w:b/>
                <w:bCs/>
                <w:i/>
                <w:iCs/>
                <w:sz w:val="20"/>
                <w:szCs w:val="20"/>
              </w:rPr>
              <w:t>12 300,00</w:t>
            </w:r>
          </w:p>
        </w:tc>
      </w:tr>
      <w:tr w:rsidR="00E60C69" w14:paraId="2F034B20" w14:textId="77777777">
        <w:trPr>
          <w:trHeight w:val="31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A869B18" w14:textId="77777777" w:rsidR="00E60C69" w:rsidRPr="00E60C69" w:rsidRDefault="00E60C69">
            <w:pPr>
              <w:rPr>
                <w:b/>
                <w:bCs/>
                <w:sz w:val="18"/>
                <w:szCs w:val="18"/>
              </w:rPr>
            </w:pPr>
            <w:r w:rsidRPr="00E60C69">
              <w:rPr>
                <w:b/>
                <w:bCs/>
                <w:sz w:val="18"/>
                <w:szCs w:val="18"/>
              </w:rPr>
              <w:t>G.</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08F8C0E3" w14:textId="77777777" w:rsidR="00E60C69" w:rsidRPr="00E60C69" w:rsidRDefault="00E60C69">
            <w:pPr>
              <w:rPr>
                <w:b/>
                <w:bCs/>
                <w:sz w:val="18"/>
                <w:szCs w:val="18"/>
              </w:rPr>
            </w:pPr>
            <w:r w:rsidRPr="00E60C69">
              <w:rPr>
                <w:b/>
                <w:bCs/>
                <w:sz w:val="18"/>
                <w:szCs w:val="18"/>
              </w:rPr>
              <w:t xml:space="preserve"> Przychody finansowe</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4A0C7DC9" w14:textId="77777777" w:rsidR="00E60C69" w:rsidRDefault="00E60C69">
            <w:pPr>
              <w:jc w:val="center"/>
              <w:rPr>
                <w:b/>
                <w:bCs/>
                <w:i/>
                <w:iCs/>
                <w:sz w:val="20"/>
                <w:szCs w:val="20"/>
              </w:rPr>
            </w:pPr>
            <w:r>
              <w:rPr>
                <w:b/>
                <w:bCs/>
                <w:i/>
                <w:iCs/>
                <w:sz w:val="20"/>
                <w:szCs w:val="20"/>
              </w:rPr>
              <w:t>400,00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C426022" w14:textId="77777777" w:rsidR="00E60C69" w:rsidRDefault="00E60C69">
            <w:pPr>
              <w:jc w:val="center"/>
              <w:rPr>
                <w:b/>
                <w:bCs/>
                <w:i/>
                <w:iCs/>
                <w:sz w:val="20"/>
                <w:szCs w:val="20"/>
              </w:rPr>
            </w:pPr>
            <w:r>
              <w:rPr>
                <w:b/>
                <w:bCs/>
                <w:i/>
                <w:iCs/>
                <w:sz w:val="20"/>
                <w:szCs w:val="20"/>
              </w:rPr>
              <w:t>400,00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796EE991" w14:textId="77777777" w:rsidR="00E60C69" w:rsidRDefault="00E60C69">
            <w:pPr>
              <w:jc w:val="center"/>
              <w:rPr>
                <w:b/>
                <w:bCs/>
                <w:i/>
                <w:iCs/>
                <w:sz w:val="20"/>
                <w:szCs w:val="20"/>
              </w:rPr>
            </w:pPr>
            <w:r>
              <w:rPr>
                <w:b/>
                <w:bCs/>
                <w:i/>
                <w:iCs/>
                <w:sz w:val="20"/>
                <w:szCs w:val="20"/>
              </w:rPr>
              <w:t>500,00</w:t>
            </w:r>
          </w:p>
        </w:tc>
      </w:tr>
      <w:tr w:rsidR="00E60C69" w14:paraId="004BD040"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C65D062" w14:textId="77777777" w:rsidR="00E60C69" w:rsidRPr="00E60C69" w:rsidRDefault="00E60C69">
            <w:pPr>
              <w:rPr>
                <w:sz w:val="18"/>
                <w:szCs w:val="18"/>
              </w:rPr>
            </w:pPr>
            <w:proofErr w:type="spellStart"/>
            <w:r w:rsidRPr="00E60C69">
              <w:rPr>
                <w:sz w:val="18"/>
                <w:szCs w:val="18"/>
              </w:rPr>
              <w:t>G.l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58F81D8F" w14:textId="77777777" w:rsidR="00E60C69" w:rsidRPr="00E60C69" w:rsidRDefault="00E60C69">
            <w:pPr>
              <w:rPr>
                <w:sz w:val="18"/>
                <w:szCs w:val="18"/>
              </w:rPr>
            </w:pPr>
            <w:r w:rsidRPr="00E60C69">
              <w:rPr>
                <w:sz w:val="18"/>
                <w:szCs w:val="18"/>
              </w:rPr>
              <w:t xml:space="preserve"> Dywidendy i udziały w zyskach, w tym:</w:t>
            </w:r>
          </w:p>
        </w:tc>
        <w:tc>
          <w:tcPr>
            <w:tcW w:w="1739" w:type="dxa"/>
            <w:tcBorders>
              <w:top w:val="nil"/>
              <w:left w:val="nil"/>
              <w:bottom w:val="single" w:sz="8" w:space="0" w:color="auto"/>
              <w:right w:val="single" w:sz="8" w:space="0" w:color="auto"/>
            </w:tcBorders>
            <w:shd w:val="clear" w:color="auto" w:fill="auto"/>
            <w:vAlign w:val="center"/>
            <w:hideMark/>
          </w:tcPr>
          <w:p w14:paraId="4192EE9C"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CD8B39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06E3DF5" w14:textId="77777777" w:rsidR="00E60C69" w:rsidRDefault="00E60C69">
            <w:pPr>
              <w:jc w:val="center"/>
              <w:rPr>
                <w:i/>
                <w:iCs/>
                <w:sz w:val="20"/>
                <w:szCs w:val="20"/>
              </w:rPr>
            </w:pPr>
            <w:r>
              <w:rPr>
                <w:i/>
                <w:iCs/>
                <w:sz w:val="20"/>
                <w:szCs w:val="20"/>
              </w:rPr>
              <w:t>0,00</w:t>
            </w:r>
          </w:p>
        </w:tc>
      </w:tr>
      <w:tr w:rsidR="00E60C69" w14:paraId="21E84388"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780DE78" w14:textId="77777777" w:rsidR="00E60C69" w:rsidRPr="00E60C69" w:rsidRDefault="00E60C69">
            <w:pPr>
              <w:rPr>
                <w:sz w:val="18"/>
                <w:szCs w:val="18"/>
              </w:rPr>
            </w:pPr>
            <w:proofErr w:type="spellStart"/>
            <w:r w:rsidRPr="00E60C69">
              <w:rPr>
                <w:sz w:val="18"/>
                <w:szCs w:val="18"/>
              </w:rPr>
              <w:t>G.I.a</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25E39CC7" w14:textId="77777777" w:rsidR="00E60C69" w:rsidRPr="00E60C69" w:rsidRDefault="00E60C69">
            <w:pPr>
              <w:rPr>
                <w:i/>
                <w:iCs/>
                <w:sz w:val="18"/>
                <w:szCs w:val="18"/>
              </w:rPr>
            </w:pPr>
            <w:r w:rsidRPr="00E60C69">
              <w:rPr>
                <w:i/>
                <w:iCs/>
                <w:sz w:val="18"/>
                <w:szCs w:val="18"/>
              </w:rPr>
              <w:t>od jednostek powiązanych</w:t>
            </w:r>
          </w:p>
        </w:tc>
        <w:tc>
          <w:tcPr>
            <w:tcW w:w="1739" w:type="dxa"/>
            <w:tcBorders>
              <w:top w:val="nil"/>
              <w:left w:val="nil"/>
              <w:bottom w:val="single" w:sz="8" w:space="0" w:color="auto"/>
              <w:right w:val="single" w:sz="8" w:space="0" w:color="auto"/>
            </w:tcBorders>
            <w:shd w:val="clear" w:color="auto" w:fill="auto"/>
            <w:vAlign w:val="center"/>
            <w:hideMark/>
          </w:tcPr>
          <w:p w14:paraId="280257D6"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CF0628A"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D013202" w14:textId="77777777" w:rsidR="00E60C69" w:rsidRDefault="00E60C69">
            <w:pPr>
              <w:jc w:val="center"/>
              <w:rPr>
                <w:i/>
                <w:iCs/>
                <w:sz w:val="20"/>
                <w:szCs w:val="20"/>
              </w:rPr>
            </w:pPr>
            <w:r>
              <w:rPr>
                <w:i/>
                <w:iCs/>
                <w:sz w:val="20"/>
                <w:szCs w:val="20"/>
              </w:rPr>
              <w:t>0,00</w:t>
            </w:r>
          </w:p>
        </w:tc>
      </w:tr>
      <w:tr w:rsidR="00E60C69" w14:paraId="58C2CF2E"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67372D9" w14:textId="77777777" w:rsidR="00E60C69" w:rsidRPr="00E60C69" w:rsidRDefault="00E60C69">
            <w:pPr>
              <w:rPr>
                <w:sz w:val="18"/>
                <w:szCs w:val="18"/>
              </w:rPr>
            </w:pPr>
            <w:proofErr w:type="spellStart"/>
            <w:r w:rsidRPr="00E60C69">
              <w:rPr>
                <w:sz w:val="18"/>
                <w:szCs w:val="18"/>
              </w:rPr>
              <w:t>G.I.a</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7609E2BE" w14:textId="77777777" w:rsidR="00E60C69" w:rsidRPr="00E60C69" w:rsidRDefault="00E60C69">
            <w:pPr>
              <w:rPr>
                <w:sz w:val="18"/>
                <w:szCs w:val="18"/>
              </w:rPr>
            </w:pPr>
            <w:r w:rsidRPr="00E60C69">
              <w:rPr>
                <w:sz w:val="18"/>
                <w:szCs w:val="18"/>
              </w:rPr>
              <w:t>w których jednostka posiada zaangażowanie w kapitale</w:t>
            </w:r>
          </w:p>
        </w:tc>
        <w:tc>
          <w:tcPr>
            <w:tcW w:w="1739" w:type="dxa"/>
            <w:tcBorders>
              <w:top w:val="nil"/>
              <w:left w:val="nil"/>
              <w:bottom w:val="single" w:sz="8" w:space="0" w:color="auto"/>
              <w:right w:val="single" w:sz="8" w:space="0" w:color="auto"/>
            </w:tcBorders>
            <w:shd w:val="clear" w:color="auto" w:fill="auto"/>
            <w:vAlign w:val="center"/>
            <w:hideMark/>
          </w:tcPr>
          <w:p w14:paraId="744C9326"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8B60A06"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AAB4D57" w14:textId="77777777" w:rsidR="00E60C69" w:rsidRDefault="00E60C69">
            <w:pPr>
              <w:jc w:val="center"/>
              <w:rPr>
                <w:i/>
                <w:iCs/>
                <w:sz w:val="20"/>
                <w:szCs w:val="20"/>
              </w:rPr>
            </w:pPr>
            <w:r>
              <w:rPr>
                <w:i/>
                <w:iCs/>
                <w:sz w:val="20"/>
                <w:szCs w:val="20"/>
              </w:rPr>
              <w:t>0,00</w:t>
            </w:r>
          </w:p>
        </w:tc>
      </w:tr>
      <w:tr w:rsidR="00E60C69" w14:paraId="6FD85409"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49309FA" w14:textId="77777777" w:rsidR="00E60C69" w:rsidRPr="00E60C69" w:rsidRDefault="00E60C69">
            <w:pPr>
              <w:rPr>
                <w:sz w:val="18"/>
                <w:szCs w:val="18"/>
              </w:rPr>
            </w:pPr>
            <w:proofErr w:type="spellStart"/>
            <w:r w:rsidRPr="00E60C69">
              <w:rPr>
                <w:sz w:val="18"/>
                <w:szCs w:val="18"/>
              </w:rPr>
              <w:t>G.I.b</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57F295BC" w14:textId="77777777" w:rsidR="00E60C69" w:rsidRPr="00E60C69" w:rsidRDefault="00E60C69">
            <w:pPr>
              <w:rPr>
                <w:i/>
                <w:iCs/>
                <w:sz w:val="18"/>
                <w:szCs w:val="18"/>
              </w:rPr>
            </w:pPr>
            <w:r w:rsidRPr="00E60C69">
              <w:rPr>
                <w:i/>
                <w:iCs/>
                <w:sz w:val="18"/>
                <w:szCs w:val="18"/>
              </w:rPr>
              <w:t>od jednostek pozostałych, w tym:</w:t>
            </w:r>
          </w:p>
        </w:tc>
        <w:tc>
          <w:tcPr>
            <w:tcW w:w="1739" w:type="dxa"/>
            <w:tcBorders>
              <w:top w:val="nil"/>
              <w:left w:val="nil"/>
              <w:bottom w:val="single" w:sz="8" w:space="0" w:color="auto"/>
              <w:right w:val="single" w:sz="8" w:space="0" w:color="auto"/>
            </w:tcBorders>
            <w:shd w:val="clear" w:color="auto" w:fill="auto"/>
            <w:vAlign w:val="center"/>
            <w:hideMark/>
          </w:tcPr>
          <w:p w14:paraId="106725F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0273D74"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C6D801A" w14:textId="77777777" w:rsidR="00E60C69" w:rsidRDefault="00E60C69">
            <w:pPr>
              <w:jc w:val="center"/>
              <w:rPr>
                <w:i/>
                <w:iCs/>
                <w:sz w:val="20"/>
                <w:szCs w:val="20"/>
              </w:rPr>
            </w:pPr>
            <w:r>
              <w:rPr>
                <w:i/>
                <w:iCs/>
                <w:sz w:val="20"/>
                <w:szCs w:val="20"/>
              </w:rPr>
              <w:t>0,00</w:t>
            </w:r>
          </w:p>
        </w:tc>
      </w:tr>
      <w:tr w:rsidR="00E60C69" w14:paraId="0C5E4888"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91CE15E" w14:textId="77777777" w:rsidR="00E60C69" w:rsidRPr="00E60C69" w:rsidRDefault="00E60C69">
            <w:pPr>
              <w:rPr>
                <w:sz w:val="18"/>
                <w:szCs w:val="18"/>
              </w:rPr>
            </w:pPr>
            <w:proofErr w:type="spellStart"/>
            <w:r w:rsidRPr="00E60C69">
              <w:rPr>
                <w:sz w:val="18"/>
                <w:szCs w:val="18"/>
              </w:rPr>
              <w:t>G.I.b</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43FEB5FB" w14:textId="77777777" w:rsidR="00E60C69" w:rsidRPr="00E60C69" w:rsidRDefault="00E60C69">
            <w:pPr>
              <w:rPr>
                <w:sz w:val="18"/>
                <w:szCs w:val="18"/>
              </w:rPr>
            </w:pPr>
            <w:r w:rsidRPr="00E60C69">
              <w:rPr>
                <w:sz w:val="18"/>
                <w:szCs w:val="18"/>
              </w:rPr>
              <w:t>w których jednostka posiada zaangażowanie w kapitale</w:t>
            </w:r>
          </w:p>
        </w:tc>
        <w:tc>
          <w:tcPr>
            <w:tcW w:w="1739" w:type="dxa"/>
            <w:tcBorders>
              <w:top w:val="nil"/>
              <w:left w:val="nil"/>
              <w:bottom w:val="single" w:sz="8" w:space="0" w:color="auto"/>
              <w:right w:val="single" w:sz="8" w:space="0" w:color="auto"/>
            </w:tcBorders>
            <w:shd w:val="clear" w:color="auto" w:fill="auto"/>
            <w:vAlign w:val="center"/>
            <w:hideMark/>
          </w:tcPr>
          <w:p w14:paraId="1D98281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145CB6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D98DCE0" w14:textId="77777777" w:rsidR="00E60C69" w:rsidRDefault="00E60C69">
            <w:pPr>
              <w:jc w:val="center"/>
              <w:rPr>
                <w:i/>
                <w:iCs/>
                <w:sz w:val="20"/>
                <w:szCs w:val="20"/>
              </w:rPr>
            </w:pPr>
            <w:r>
              <w:rPr>
                <w:i/>
                <w:iCs/>
                <w:sz w:val="20"/>
                <w:szCs w:val="20"/>
              </w:rPr>
              <w:t>0,00</w:t>
            </w:r>
          </w:p>
        </w:tc>
      </w:tr>
      <w:tr w:rsidR="00E60C69" w14:paraId="6F961E57"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8114401" w14:textId="77777777" w:rsidR="00E60C69" w:rsidRPr="00E60C69" w:rsidRDefault="00E60C69">
            <w:pPr>
              <w:rPr>
                <w:sz w:val="18"/>
                <w:szCs w:val="18"/>
              </w:rPr>
            </w:pPr>
            <w:r w:rsidRPr="00E60C69">
              <w:rPr>
                <w:sz w:val="18"/>
                <w:szCs w:val="18"/>
              </w:rPr>
              <w:t>G.II.</w:t>
            </w:r>
          </w:p>
        </w:tc>
        <w:tc>
          <w:tcPr>
            <w:tcW w:w="2219" w:type="dxa"/>
            <w:tcBorders>
              <w:top w:val="nil"/>
              <w:left w:val="nil"/>
              <w:bottom w:val="single" w:sz="8" w:space="0" w:color="auto"/>
              <w:right w:val="single" w:sz="8" w:space="0" w:color="auto"/>
            </w:tcBorders>
            <w:shd w:val="clear" w:color="auto" w:fill="auto"/>
            <w:vAlign w:val="center"/>
            <w:hideMark/>
          </w:tcPr>
          <w:p w14:paraId="696A8F7C" w14:textId="77777777" w:rsidR="00E60C69" w:rsidRPr="00E60C69" w:rsidRDefault="00E60C69">
            <w:pPr>
              <w:rPr>
                <w:sz w:val="18"/>
                <w:szCs w:val="18"/>
              </w:rPr>
            </w:pPr>
            <w:r w:rsidRPr="00E60C69">
              <w:rPr>
                <w:sz w:val="18"/>
                <w:szCs w:val="18"/>
              </w:rPr>
              <w:t>Odsetki</w:t>
            </w:r>
          </w:p>
        </w:tc>
        <w:tc>
          <w:tcPr>
            <w:tcW w:w="1739" w:type="dxa"/>
            <w:tcBorders>
              <w:top w:val="nil"/>
              <w:left w:val="nil"/>
              <w:bottom w:val="single" w:sz="8" w:space="0" w:color="auto"/>
              <w:right w:val="single" w:sz="8" w:space="0" w:color="auto"/>
            </w:tcBorders>
            <w:shd w:val="clear" w:color="auto" w:fill="auto"/>
            <w:vAlign w:val="center"/>
            <w:hideMark/>
          </w:tcPr>
          <w:p w14:paraId="380F7FEF" w14:textId="77777777" w:rsidR="00E60C69" w:rsidRDefault="00E60C69">
            <w:pPr>
              <w:jc w:val="center"/>
              <w:rPr>
                <w:i/>
                <w:iCs/>
                <w:sz w:val="20"/>
                <w:szCs w:val="20"/>
              </w:rPr>
            </w:pPr>
            <w:r>
              <w:rPr>
                <w:i/>
                <w:iCs/>
                <w:sz w:val="20"/>
                <w:szCs w:val="20"/>
              </w:rPr>
              <w:t>400,00</w:t>
            </w:r>
          </w:p>
        </w:tc>
        <w:tc>
          <w:tcPr>
            <w:tcW w:w="1779" w:type="dxa"/>
            <w:tcBorders>
              <w:top w:val="nil"/>
              <w:left w:val="nil"/>
              <w:bottom w:val="single" w:sz="8" w:space="0" w:color="auto"/>
              <w:right w:val="single" w:sz="8" w:space="0" w:color="auto"/>
            </w:tcBorders>
            <w:shd w:val="clear" w:color="auto" w:fill="auto"/>
            <w:vAlign w:val="center"/>
            <w:hideMark/>
          </w:tcPr>
          <w:p w14:paraId="45ABBF47" w14:textId="77777777" w:rsidR="00E60C69" w:rsidRDefault="00E60C69">
            <w:pPr>
              <w:jc w:val="center"/>
              <w:rPr>
                <w:i/>
                <w:iCs/>
                <w:sz w:val="20"/>
                <w:szCs w:val="20"/>
              </w:rPr>
            </w:pPr>
            <w:r>
              <w:rPr>
                <w:i/>
                <w:iCs/>
                <w:sz w:val="20"/>
                <w:szCs w:val="20"/>
              </w:rPr>
              <w:t>400,00</w:t>
            </w:r>
          </w:p>
        </w:tc>
        <w:tc>
          <w:tcPr>
            <w:tcW w:w="1779" w:type="dxa"/>
            <w:tcBorders>
              <w:top w:val="nil"/>
              <w:left w:val="nil"/>
              <w:bottom w:val="single" w:sz="8" w:space="0" w:color="auto"/>
              <w:right w:val="single" w:sz="8" w:space="0" w:color="auto"/>
            </w:tcBorders>
            <w:shd w:val="clear" w:color="auto" w:fill="auto"/>
            <w:vAlign w:val="center"/>
            <w:hideMark/>
          </w:tcPr>
          <w:p w14:paraId="68D5DD42" w14:textId="77777777" w:rsidR="00E60C69" w:rsidRDefault="00E60C69">
            <w:pPr>
              <w:jc w:val="center"/>
              <w:rPr>
                <w:i/>
                <w:iCs/>
                <w:sz w:val="20"/>
                <w:szCs w:val="20"/>
              </w:rPr>
            </w:pPr>
            <w:r>
              <w:rPr>
                <w:i/>
                <w:iCs/>
                <w:sz w:val="20"/>
                <w:szCs w:val="20"/>
              </w:rPr>
              <w:t>500,00</w:t>
            </w:r>
          </w:p>
        </w:tc>
      </w:tr>
      <w:tr w:rsidR="00E60C69" w14:paraId="0858835D"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D16E8FD" w14:textId="77777777" w:rsidR="00E60C69" w:rsidRPr="00E60C69" w:rsidRDefault="00E60C69">
            <w:pPr>
              <w:rPr>
                <w:sz w:val="18"/>
                <w:szCs w:val="18"/>
              </w:rPr>
            </w:pPr>
            <w:r w:rsidRPr="00E60C69">
              <w:rPr>
                <w:sz w:val="18"/>
                <w:szCs w:val="18"/>
              </w:rPr>
              <w:t>G.II.-</w:t>
            </w:r>
          </w:p>
        </w:tc>
        <w:tc>
          <w:tcPr>
            <w:tcW w:w="2219" w:type="dxa"/>
            <w:tcBorders>
              <w:top w:val="nil"/>
              <w:left w:val="nil"/>
              <w:bottom w:val="single" w:sz="8" w:space="0" w:color="auto"/>
              <w:right w:val="single" w:sz="8" w:space="0" w:color="auto"/>
            </w:tcBorders>
            <w:shd w:val="clear" w:color="auto" w:fill="auto"/>
            <w:vAlign w:val="center"/>
            <w:hideMark/>
          </w:tcPr>
          <w:p w14:paraId="22F515A4" w14:textId="77777777" w:rsidR="00E60C69" w:rsidRPr="00E60C69" w:rsidRDefault="00E60C69">
            <w:pPr>
              <w:rPr>
                <w:i/>
                <w:iCs/>
                <w:sz w:val="18"/>
                <w:szCs w:val="18"/>
              </w:rPr>
            </w:pPr>
            <w:r w:rsidRPr="00E60C69">
              <w:rPr>
                <w:i/>
                <w:iCs/>
                <w:sz w:val="18"/>
                <w:szCs w:val="18"/>
              </w:rPr>
              <w:t>w tym od jednostek powiązanych</w:t>
            </w:r>
          </w:p>
        </w:tc>
        <w:tc>
          <w:tcPr>
            <w:tcW w:w="1739" w:type="dxa"/>
            <w:tcBorders>
              <w:top w:val="nil"/>
              <w:left w:val="nil"/>
              <w:bottom w:val="single" w:sz="8" w:space="0" w:color="auto"/>
              <w:right w:val="single" w:sz="8" w:space="0" w:color="auto"/>
            </w:tcBorders>
            <w:shd w:val="clear" w:color="auto" w:fill="auto"/>
            <w:vAlign w:val="center"/>
            <w:hideMark/>
          </w:tcPr>
          <w:p w14:paraId="2F4C056D"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279001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7043B02" w14:textId="77777777" w:rsidR="00E60C69" w:rsidRDefault="00E60C69">
            <w:pPr>
              <w:jc w:val="center"/>
              <w:rPr>
                <w:i/>
                <w:iCs/>
                <w:sz w:val="20"/>
                <w:szCs w:val="20"/>
              </w:rPr>
            </w:pPr>
            <w:r>
              <w:rPr>
                <w:i/>
                <w:iCs/>
                <w:sz w:val="20"/>
                <w:szCs w:val="20"/>
              </w:rPr>
              <w:t>0,00</w:t>
            </w:r>
          </w:p>
        </w:tc>
      </w:tr>
      <w:tr w:rsidR="00E60C69" w14:paraId="61A20DDF"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6B42CC6" w14:textId="77777777" w:rsidR="00E60C69" w:rsidRPr="00E60C69" w:rsidRDefault="00E60C69">
            <w:pPr>
              <w:rPr>
                <w:sz w:val="18"/>
                <w:szCs w:val="18"/>
              </w:rPr>
            </w:pPr>
            <w:r w:rsidRPr="00E60C69">
              <w:rPr>
                <w:sz w:val="18"/>
                <w:szCs w:val="18"/>
              </w:rPr>
              <w:t>G.III.</w:t>
            </w:r>
          </w:p>
        </w:tc>
        <w:tc>
          <w:tcPr>
            <w:tcW w:w="2219" w:type="dxa"/>
            <w:tcBorders>
              <w:top w:val="nil"/>
              <w:left w:val="nil"/>
              <w:bottom w:val="single" w:sz="8" w:space="0" w:color="auto"/>
              <w:right w:val="single" w:sz="8" w:space="0" w:color="auto"/>
            </w:tcBorders>
            <w:shd w:val="clear" w:color="auto" w:fill="auto"/>
            <w:vAlign w:val="center"/>
            <w:hideMark/>
          </w:tcPr>
          <w:p w14:paraId="0926854B" w14:textId="77777777" w:rsidR="00E60C69" w:rsidRPr="00E60C69" w:rsidRDefault="00E60C69">
            <w:pPr>
              <w:rPr>
                <w:sz w:val="18"/>
                <w:szCs w:val="18"/>
              </w:rPr>
            </w:pPr>
            <w:r w:rsidRPr="00E60C69">
              <w:rPr>
                <w:sz w:val="18"/>
                <w:szCs w:val="18"/>
              </w:rPr>
              <w:t xml:space="preserve"> Zysk z tytułu rozchodu aktywów finansowych, w tym:</w:t>
            </w:r>
          </w:p>
        </w:tc>
        <w:tc>
          <w:tcPr>
            <w:tcW w:w="1739" w:type="dxa"/>
            <w:tcBorders>
              <w:top w:val="nil"/>
              <w:left w:val="nil"/>
              <w:bottom w:val="single" w:sz="8" w:space="0" w:color="auto"/>
              <w:right w:val="single" w:sz="8" w:space="0" w:color="auto"/>
            </w:tcBorders>
            <w:shd w:val="clear" w:color="auto" w:fill="auto"/>
            <w:vAlign w:val="center"/>
            <w:hideMark/>
          </w:tcPr>
          <w:p w14:paraId="25D44E2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CC7526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5B165FA" w14:textId="77777777" w:rsidR="00E60C69" w:rsidRDefault="00E60C69">
            <w:pPr>
              <w:jc w:val="center"/>
              <w:rPr>
                <w:i/>
                <w:iCs/>
                <w:sz w:val="20"/>
                <w:szCs w:val="20"/>
              </w:rPr>
            </w:pPr>
            <w:r>
              <w:rPr>
                <w:i/>
                <w:iCs/>
                <w:sz w:val="20"/>
                <w:szCs w:val="20"/>
              </w:rPr>
              <w:t>0,00</w:t>
            </w:r>
          </w:p>
        </w:tc>
      </w:tr>
      <w:tr w:rsidR="00E60C69" w14:paraId="3D01DAED"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0FB0CFD" w14:textId="77777777" w:rsidR="00E60C69" w:rsidRPr="00E60C69" w:rsidRDefault="00E60C69">
            <w:pPr>
              <w:rPr>
                <w:sz w:val="18"/>
                <w:szCs w:val="18"/>
              </w:rPr>
            </w:pPr>
            <w:r w:rsidRPr="00E60C69">
              <w:rPr>
                <w:sz w:val="18"/>
                <w:szCs w:val="18"/>
              </w:rPr>
              <w:t>G.III.-</w:t>
            </w:r>
          </w:p>
        </w:tc>
        <w:tc>
          <w:tcPr>
            <w:tcW w:w="2219" w:type="dxa"/>
            <w:tcBorders>
              <w:top w:val="nil"/>
              <w:left w:val="nil"/>
              <w:bottom w:val="single" w:sz="8" w:space="0" w:color="auto"/>
              <w:right w:val="single" w:sz="8" w:space="0" w:color="auto"/>
            </w:tcBorders>
            <w:shd w:val="clear" w:color="auto" w:fill="auto"/>
            <w:vAlign w:val="center"/>
            <w:hideMark/>
          </w:tcPr>
          <w:p w14:paraId="5A2E0BBE" w14:textId="77777777" w:rsidR="00E60C69" w:rsidRPr="00E60C69" w:rsidRDefault="00E60C69">
            <w:pPr>
              <w:rPr>
                <w:sz w:val="18"/>
                <w:szCs w:val="18"/>
              </w:rPr>
            </w:pPr>
            <w:r w:rsidRPr="00E60C69">
              <w:rPr>
                <w:sz w:val="18"/>
                <w:szCs w:val="18"/>
              </w:rPr>
              <w:t>w jednostkach powiązanych</w:t>
            </w:r>
          </w:p>
        </w:tc>
        <w:tc>
          <w:tcPr>
            <w:tcW w:w="1739" w:type="dxa"/>
            <w:tcBorders>
              <w:top w:val="nil"/>
              <w:left w:val="nil"/>
              <w:bottom w:val="single" w:sz="8" w:space="0" w:color="auto"/>
              <w:right w:val="single" w:sz="8" w:space="0" w:color="auto"/>
            </w:tcBorders>
            <w:shd w:val="clear" w:color="auto" w:fill="auto"/>
            <w:vAlign w:val="center"/>
            <w:hideMark/>
          </w:tcPr>
          <w:p w14:paraId="33855CF4"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E4BC9D2"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C8A3436" w14:textId="77777777" w:rsidR="00E60C69" w:rsidRDefault="00E60C69">
            <w:pPr>
              <w:jc w:val="center"/>
              <w:rPr>
                <w:i/>
                <w:iCs/>
                <w:sz w:val="20"/>
                <w:szCs w:val="20"/>
              </w:rPr>
            </w:pPr>
            <w:r>
              <w:rPr>
                <w:i/>
                <w:iCs/>
                <w:sz w:val="20"/>
                <w:szCs w:val="20"/>
              </w:rPr>
              <w:t>0,00</w:t>
            </w:r>
          </w:p>
        </w:tc>
      </w:tr>
      <w:tr w:rsidR="00E60C69" w14:paraId="5923BC05"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B3891BD" w14:textId="77777777" w:rsidR="00E60C69" w:rsidRPr="00E60C69" w:rsidRDefault="00E60C69">
            <w:pPr>
              <w:rPr>
                <w:sz w:val="18"/>
                <w:szCs w:val="18"/>
              </w:rPr>
            </w:pPr>
            <w:r w:rsidRPr="00E60C69">
              <w:rPr>
                <w:sz w:val="18"/>
                <w:szCs w:val="18"/>
              </w:rPr>
              <w:t>G.IV.</w:t>
            </w:r>
          </w:p>
        </w:tc>
        <w:tc>
          <w:tcPr>
            <w:tcW w:w="2219" w:type="dxa"/>
            <w:tcBorders>
              <w:top w:val="nil"/>
              <w:left w:val="nil"/>
              <w:bottom w:val="single" w:sz="8" w:space="0" w:color="auto"/>
              <w:right w:val="single" w:sz="8" w:space="0" w:color="auto"/>
            </w:tcBorders>
            <w:shd w:val="clear" w:color="auto" w:fill="auto"/>
            <w:vAlign w:val="center"/>
            <w:hideMark/>
          </w:tcPr>
          <w:p w14:paraId="143BB8C2" w14:textId="77777777" w:rsidR="00E60C69" w:rsidRPr="00E60C69" w:rsidRDefault="00E60C69">
            <w:pPr>
              <w:rPr>
                <w:sz w:val="18"/>
                <w:szCs w:val="18"/>
              </w:rPr>
            </w:pPr>
            <w:r w:rsidRPr="00E60C69">
              <w:rPr>
                <w:sz w:val="18"/>
                <w:szCs w:val="18"/>
              </w:rPr>
              <w:t xml:space="preserve"> Aktualizacja wartości aktywów finansowych</w:t>
            </w:r>
          </w:p>
        </w:tc>
        <w:tc>
          <w:tcPr>
            <w:tcW w:w="1739" w:type="dxa"/>
            <w:tcBorders>
              <w:top w:val="nil"/>
              <w:left w:val="nil"/>
              <w:bottom w:val="single" w:sz="8" w:space="0" w:color="auto"/>
              <w:right w:val="single" w:sz="8" w:space="0" w:color="auto"/>
            </w:tcBorders>
            <w:shd w:val="clear" w:color="auto" w:fill="auto"/>
            <w:vAlign w:val="center"/>
            <w:hideMark/>
          </w:tcPr>
          <w:p w14:paraId="522BADB0"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0B31027"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07F927E" w14:textId="77777777" w:rsidR="00E60C69" w:rsidRDefault="00E60C69">
            <w:pPr>
              <w:jc w:val="center"/>
              <w:rPr>
                <w:i/>
                <w:iCs/>
                <w:sz w:val="20"/>
                <w:szCs w:val="20"/>
              </w:rPr>
            </w:pPr>
            <w:r>
              <w:rPr>
                <w:i/>
                <w:iCs/>
                <w:sz w:val="20"/>
                <w:szCs w:val="20"/>
              </w:rPr>
              <w:t>0,00</w:t>
            </w:r>
          </w:p>
        </w:tc>
      </w:tr>
      <w:tr w:rsidR="00E60C69" w14:paraId="2D11D0CF"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AF0FA43" w14:textId="77777777" w:rsidR="00E60C69" w:rsidRPr="00E60C69" w:rsidRDefault="00E60C69">
            <w:pPr>
              <w:rPr>
                <w:sz w:val="18"/>
                <w:szCs w:val="18"/>
              </w:rPr>
            </w:pPr>
            <w:r w:rsidRPr="00E60C69">
              <w:rPr>
                <w:sz w:val="18"/>
                <w:szCs w:val="18"/>
              </w:rPr>
              <w:t>G.V.</w:t>
            </w:r>
          </w:p>
        </w:tc>
        <w:tc>
          <w:tcPr>
            <w:tcW w:w="2219" w:type="dxa"/>
            <w:tcBorders>
              <w:top w:val="nil"/>
              <w:left w:val="nil"/>
              <w:bottom w:val="single" w:sz="8" w:space="0" w:color="auto"/>
              <w:right w:val="single" w:sz="8" w:space="0" w:color="auto"/>
            </w:tcBorders>
            <w:shd w:val="clear" w:color="auto" w:fill="auto"/>
            <w:vAlign w:val="center"/>
            <w:hideMark/>
          </w:tcPr>
          <w:p w14:paraId="19BDAC24" w14:textId="77777777" w:rsidR="00E60C69" w:rsidRPr="00E60C69" w:rsidRDefault="00E60C69">
            <w:pPr>
              <w:rPr>
                <w:sz w:val="18"/>
                <w:szCs w:val="18"/>
              </w:rPr>
            </w:pPr>
            <w:r w:rsidRPr="00E60C69">
              <w:rPr>
                <w:sz w:val="18"/>
                <w:szCs w:val="18"/>
              </w:rPr>
              <w:t>Inne</w:t>
            </w:r>
          </w:p>
        </w:tc>
        <w:tc>
          <w:tcPr>
            <w:tcW w:w="1739" w:type="dxa"/>
            <w:tcBorders>
              <w:top w:val="nil"/>
              <w:left w:val="nil"/>
              <w:bottom w:val="single" w:sz="8" w:space="0" w:color="auto"/>
              <w:right w:val="single" w:sz="8" w:space="0" w:color="auto"/>
            </w:tcBorders>
            <w:shd w:val="clear" w:color="auto" w:fill="auto"/>
            <w:vAlign w:val="center"/>
            <w:hideMark/>
          </w:tcPr>
          <w:p w14:paraId="1C81A5B7"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4BF1FA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32DBF54" w14:textId="77777777" w:rsidR="00E60C69" w:rsidRDefault="00E60C69">
            <w:pPr>
              <w:jc w:val="center"/>
              <w:rPr>
                <w:i/>
                <w:iCs/>
                <w:sz w:val="20"/>
                <w:szCs w:val="20"/>
              </w:rPr>
            </w:pPr>
            <w:r>
              <w:rPr>
                <w:i/>
                <w:iCs/>
                <w:sz w:val="20"/>
                <w:szCs w:val="20"/>
              </w:rPr>
              <w:t>0,00</w:t>
            </w:r>
          </w:p>
        </w:tc>
      </w:tr>
      <w:tr w:rsidR="00E60C69" w14:paraId="07D016E2" w14:textId="77777777">
        <w:trPr>
          <w:trHeight w:val="31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1F846021" w14:textId="77777777" w:rsidR="00E60C69" w:rsidRPr="00E60C69" w:rsidRDefault="00E60C69">
            <w:pPr>
              <w:rPr>
                <w:b/>
                <w:bCs/>
                <w:sz w:val="18"/>
                <w:szCs w:val="18"/>
              </w:rPr>
            </w:pPr>
            <w:r w:rsidRPr="00E60C69">
              <w:rPr>
                <w:b/>
                <w:bCs/>
                <w:sz w:val="18"/>
                <w:szCs w:val="18"/>
              </w:rPr>
              <w:t>H.</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34689E0B" w14:textId="77777777" w:rsidR="00E60C69" w:rsidRPr="00E60C69" w:rsidRDefault="00E60C69">
            <w:pPr>
              <w:rPr>
                <w:b/>
                <w:bCs/>
                <w:sz w:val="18"/>
                <w:szCs w:val="18"/>
              </w:rPr>
            </w:pPr>
            <w:r w:rsidRPr="00E60C69">
              <w:rPr>
                <w:b/>
                <w:bCs/>
                <w:sz w:val="18"/>
                <w:szCs w:val="18"/>
              </w:rPr>
              <w:t xml:space="preserve"> Koszty finansowe</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2C83CD7C" w14:textId="77777777" w:rsidR="00E60C69" w:rsidRDefault="00E60C69">
            <w:pPr>
              <w:jc w:val="center"/>
              <w:rPr>
                <w:b/>
                <w:bCs/>
                <w:i/>
                <w:iCs/>
                <w:sz w:val="20"/>
                <w:szCs w:val="20"/>
              </w:rPr>
            </w:pPr>
            <w:r>
              <w:rPr>
                <w:b/>
                <w:bCs/>
                <w:i/>
                <w:iCs/>
                <w:sz w:val="20"/>
                <w:szCs w:val="20"/>
              </w:rPr>
              <w:t>158 000,00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76EDE72" w14:textId="77777777" w:rsidR="00E60C69" w:rsidRDefault="00E60C69">
            <w:pPr>
              <w:jc w:val="center"/>
              <w:rPr>
                <w:b/>
                <w:bCs/>
                <w:i/>
                <w:iCs/>
                <w:sz w:val="20"/>
                <w:szCs w:val="20"/>
              </w:rPr>
            </w:pPr>
            <w:r>
              <w:rPr>
                <w:b/>
                <w:bCs/>
                <w:i/>
                <w:iCs/>
                <w:sz w:val="20"/>
                <w:szCs w:val="20"/>
              </w:rPr>
              <w:t>178 000,00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358916E" w14:textId="77777777" w:rsidR="00E60C69" w:rsidRDefault="00E60C69">
            <w:pPr>
              <w:jc w:val="center"/>
              <w:rPr>
                <w:b/>
                <w:bCs/>
                <w:i/>
                <w:iCs/>
                <w:sz w:val="20"/>
                <w:szCs w:val="20"/>
              </w:rPr>
            </w:pPr>
            <w:r>
              <w:rPr>
                <w:b/>
                <w:bCs/>
                <w:i/>
                <w:iCs/>
                <w:sz w:val="20"/>
                <w:szCs w:val="20"/>
              </w:rPr>
              <w:t>148 000,00</w:t>
            </w:r>
          </w:p>
        </w:tc>
      </w:tr>
      <w:tr w:rsidR="00E60C69" w14:paraId="1BA407AA"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50AA17C" w14:textId="77777777" w:rsidR="00E60C69" w:rsidRPr="00E60C69" w:rsidRDefault="00E60C69">
            <w:pPr>
              <w:rPr>
                <w:sz w:val="18"/>
                <w:szCs w:val="18"/>
              </w:rPr>
            </w:pPr>
            <w:r w:rsidRPr="00E60C69">
              <w:rPr>
                <w:sz w:val="18"/>
                <w:szCs w:val="18"/>
              </w:rPr>
              <w:t>H.I.</w:t>
            </w:r>
          </w:p>
        </w:tc>
        <w:tc>
          <w:tcPr>
            <w:tcW w:w="2219" w:type="dxa"/>
            <w:tcBorders>
              <w:top w:val="nil"/>
              <w:left w:val="nil"/>
              <w:bottom w:val="single" w:sz="8" w:space="0" w:color="auto"/>
              <w:right w:val="single" w:sz="8" w:space="0" w:color="auto"/>
            </w:tcBorders>
            <w:shd w:val="clear" w:color="auto" w:fill="auto"/>
            <w:vAlign w:val="center"/>
            <w:hideMark/>
          </w:tcPr>
          <w:p w14:paraId="13E1F388" w14:textId="77777777" w:rsidR="00E60C69" w:rsidRPr="00E60C69" w:rsidRDefault="00E60C69">
            <w:pPr>
              <w:rPr>
                <w:sz w:val="18"/>
                <w:szCs w:val="18"/>
              </w:rPr>
            </w:pPr>
            <w:r w:rsidRPr="00E60C69">
              <w:rPr>
                <w:sz w:val="18"/>
                <w:szCs w:val="18"/>
              </w:rPr>
              <w:t xml:space="preserve"> Odsetki, w tym:</w:t>
            </w:r>
          </w:p>
        </w:tc>
        <w:tc>
          <w:tcPr>
            <w:tcW w:w="1739" w:type="dxa"/>
            <w:tcBorders>
              <w:top w:val="nil"/>
              <w:left w:val="nil"/>
              <w:bottom w:val="single" w:sz="8" w:space="0" w:color="auto"/>
              <w:right w:val="single" w:sz="8" w:space="0" w:color="auto"/>
            </w:tcBorders>
            <w:shd w:val="clear" w:color="auto" w:fill="auto"/>
            <w:vAlign w:val="center"/>
            <w:hideMark/>
          </w:tcPr>
          <w:p w14:paraId="5E4867F2" w14:textId="77777777" w:rsidR="00E60C69" w:rsidRDefault="00E60C69">
            <w:pPr>
              <w:jc w:val="center"/>
              <w:rPr>
                <w:i/>
                <w:iCs/>
                <w:sz w:val="20"/>
                <w:szCs w:val="20"/>
              </w:rPr>
            </w:pPr>
            <w:r>
              <w:rPr>
                <w:i/>
                <w:iCs/>
                <w:sz w:val="20"/>
                <w:szCs w:val="20"/>
              </w:rPr>
              <w:t>130 000,00</w:t>
            </w:r>
          </w:p>
        </w:tc>
        <w:tc>
          <w:tcPr>
            <w:tcW w:w="1779" w:type="dxa"/>
            <w:tcBorders>
              <w:top w:val="nil"/>
              <w:left w:val="nil"/>
              <w:bottom w:val="single" w:sz="8" w:space="0" w:color="auto"/>
              <w:right w:val="single" w:sz="8" w:space="0" w:color="auto"/>
            </w:tcBorders>
            <w:shd w:val="clear" w:color="auto" w:fill="auto"/>
            <w:vAlign w:val="center"/>
            <w:hideMark/>
          </w:tcPr>
          <w:p w14:paraId="1AC889F4" w14:textId="77777777" w:rsidR="00E60C69" w:rsidRDefault="00E60C69">
            <w:pPr>
              <w:jc w:val="center"/>
              <w:rPr>
                <w:i/>
                <w:iCs/>
                <w:sz w:val="20"/>
                <w:szCs w:val="20"/>
              </w:rPr>
            </w:pPr>
            <w:r>
              <w:rPr>
                <w:i/>
                <w:iCs/>
                <w:sz w:val="20"/>
                <w:szCs w:val="20"/>
              </w:rPr>
              <w:t>150 000,00</w:t>
            </w:r>
          </w:p>
        </w:tc>
        <w:tc>
          <w:tcPr>
            <w:tcW w:w="1779" w:type="dxa"/>
            <w:tcBorders>
              <w:top w:val="nil"/>
              <w:left w:val="nil"/>
              <w:bottom w:val="single" w:sz="8" w:space="0" w:color="auto"/>
              <w:right w:val="single" w:sz="8" w:space="0" w:color="auto"/>
            </w:tcBorders>
            <w:shd w:val="clear" w:color="auto" w:fill="auto"/>
            <w:vAlign w:val="center"/>
            <w:hideMark/>
          </w:tcPr>
          <w:p w14:paraId="1A6123B8" w14:textId="77777777" w:rsidR="00E60C69" w:rsidRDefault="00E60C69">
            <w:pPr>
              <w:jc w:val="center"/>
              <w:rPr>
                <w:i/>
                <w:iCs/>
                <w:sz w:val="20"/>
                <w:szCs w:val="20"/>
              </w:rPr>
            </w:pPr>
            <w:r>
              <w:rPr>
                <w:i/>
                <w:iCs/>
                <w:sz w:val="20"/>
                <w:szCs w:val="20"/>
              </w:rPr>
              <w:t>120 000,00</w:t>
            </w:r>
          </w:p>
        </w:tc>
      </w:tr>
      <w:tr w:rsidR="00E60C69" w14:paraId="6CBF4AC5"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EC6B29C" w14:textId="77777777" w:rsidR="00E60C69" w:rsidRPr="00E60C69" w:rsidRDefault="00E60C69">
            <w:pPr>
              <w:rPr>
                <w:sz w:val="18"/>
                <w:szCs w:val="18"/>
              </w:rPr>
            </w:pPr>
            <w:r w:rsidRPr="00E60C69">
              <w:rPr>
                <w:sz w:val="18"/>
                <w:szCs w:val="18"/>
              </w:rPr>
              <w:t>H.I.-</w:t>
            </w:r>
          </w:p>
        </w:tc>
        <w:tc>
          <w:tcPr>
            <w:tcW w:w="2219" w:type="dxa"/>
            <w:tcBorders>
              <w:top w:val="nil"/>
              <w:left w:val="nil"/>
              <w:bottom w:val="single" w:sz="8" w:space="0" w:color="auto"/>
              <w:right w:val="single" w:sz="8" w:space="0" w:color="auto"/>
            </w:tcBorders>
            <w:shd w:val="clear" w:color="auto" w:fill="auto"/>
            <w:vAlign w:val="center"/>
            <w:hideMark/>
          </w:tcPr>
          <w:p w14:paraId="27BF112C" w14:textId="77777777" w:rsidR="00E60C69" w:rsidRPr="00E60C69" w:rsidRDefault="00E60C69">
            <w:pPr>
              <w:rPr>
                <w:i/>
                <w:iCs/>
                <w:sz w:val="18"/>
                <w:szCs w:val="18"/>
              </w:rPr>
            </w:pPr>
            <w:r w:rsidRPr="00E60C69">
              <w:rPr>
                <w:i/>
                <w:iCs/>
                <w:sz w:val="18"/>
                <w:szCs w:val="18"/>
              </w:rPr>
              <w:t>dla jednostek powiązanych</w:t>
            </w:r>
          </w:p>
        </w:tc>
        <w:tc>
          <w:tcPr>
            <w:tcW w:w="1739" w:type="dxa"/>
            <w:tcBorders>
              <w:top w:val="nil"/>
              <w:left w:val="nil"/>
              <w:bottom w:val="single" w:sz="8" w:space="0" w:color="auto"/>
              <w:right w:val="single" w:sz="8" w:space="0" w:color="auto"/>
            </w:tcBorders>
            <w:shd w:val="clear" w:color="auto" w:fill="auto"/>
            <w:vAlign w:val="center"/>
            <w:hideMark/>
          </w:tcPr>
          <w:p w14:paraId="68027A42"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4219156F"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7582CE6" w14:textId="77777777" w:rsidR="00E60C69" w:rsidRDefault="00E60C69">
            <w:pPr>
              <w:jc w:val="center"/>
              <w:rPr>
                <w:i/>
                <w:iCs/>
                <w:sz w:val="20"/>
                <w:szCs w:val="20"/>
              </w:rPr>
            </w:pPr>
            <w:r>
              <w:rPr>
                <w:i/>
                <w:iCs/>
                <w:sz w:val="20"/>
                <w:szCs w:val="20"/>
              </w:rPr>
              <w:t>0,00</w:t>
            </w:r>
          </w:p>
        </w:tc>
      </w:tr>
      <w:tr w:rsidR="00E60C69" w14:paraId="3CE40718"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1A451E5" w14:textId="77777777" w:rsidR="00E60C69" w:rsidRPr="00E60C69" w:rsidRDefault="00E60C69">
            <w:pPr>
              <w:rPr>
                <w:sz w:val="18"/>
                <w:szCs w:val="18"/>
              </w:rPr>
            </w:pPr>
            <w:r w:rsidRPr="00E60C69">
              <w:rPr>
                <w:sz w:val="18"/>
                <w:szCs w:val="18"/>
              </w:rPr>
              <w:t>H.II.</w:t>
            </w:r>
          </w:p>
        </w:tc>
        <w:tc>
          <w:tcPr>
            <w:tcW w:w="2219" w:type="dxa"/>
            <w:tcBorders>
              <w:top w:val="nil"/>
              <w:left w:val="nil"/>
              <w:bottom w:val="single" w:sz="8" w:space="0" w:color="auto"/>
              <w:right w:val="single" w:sz="8" w:space="0" w:color="auto"/>
            </w:tcBorders>
            <w:shd w:val="clear" w:color="auto" w:fill="auto"/>
            <w:vAlign w:val="center"/>
            <w:hideMark/>
          </w:tcPr>
          <w:p w14:paraId="17E66814" w14:textId="77777777" w:rsidR="00E60C69" w:rsidRPr="00E60C69" w:rsidRDefault="00E60C69">
            <w:pPr>
              <w:rPr>
                <w:sz w:val="18"/>
                <w:szCs w:val="18"/>
              </w:rPr>
            </w:pPr>
            <w:r w:rsidRPr="00E60C69">
              <w:rPr>
                <w:sz w:val="18"/>
                <w:szCs w:val="18"/>
              </w:rPr>
              <w:t xml:space="preserve"> Strata z tytułu rozchodu aktywów finansowych, w tym:</w:t>
            </w:r>
          </w:p>
        </w:tc>
        <w:tc>
          <w:tcPr>
            <w:tcW w:w="1739" w:type="dxa"/>
            <w:tcBorders>
              <w:top w:val="nil"/>
              <w:left w:val="nil"/>
              <w:bottom w:val="single" w:sz="8" w:space="0" w:color="auto"/>
              <w:right w:val="single" w:sz="8" w:space="0" w:color="auto"/>
            </w:tcBorders>
            <w:shd w:val="clear" w:color="auto" w:fill="auto"/>
            <w:vAlign w:val="center"/>
            <w:hideMark/>
          </w:tcPr>
          <w:p w14:paraId="7D338F58"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E0F24A2"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5FD2E3F" w14:textId="77777777" w:rsidR="00E60C69" w:rsidRDefault="00E60C69">
            <w:pPr>
              <w:jc w:val="center"/>
              <w:rPr>
                <w:i/>
                <w:iCs/>
                <w:sz w:val="20"/>
                <w:szCs w:val="20"/>
              </w:rPr>
            </w:pPr>
            <w:r>
              <w:rPr>
                <w:i/>
                <w:iCs/>
                <w:sz w:val="20"/>
                <w:szCs w:val="20"/>
              </w:rPr>
              <w:t>0,00</w:t>
            </w:r>
          </w:p>
        </w:tc>
      </w:tr>
      <w:tr w:rsidR="00E60C69" w14:paraId="5534078A"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2F10641" w14:textId="77777777" w:rsidR="00E60C69" w:rsidRPr="00E60C69" w:rsidRDefault="00E60C69">
            <w:pPr>
              <w:rPr>
                <w:sz w:val="18"/>
                <w:szCs w:val="18"/>
              </w:rPr>
            </w:pPr>
            <w:r w:rsidRPr="00E60C69">
              <w:rPr>
                <w:sz w:val="18"/>
                <w:szCs w:val="18"/>
              </w:rPr>
              <w:t>H.II.-</w:t>
            </w:r>
          </w:p>
        </w:tc>
        <w:tc>
          <w:tcPr>
            <w:tcW w:w="2219" w:type="dxa"/>
            <w:tcBorders>
              <w:top w:val="nil"/>
              <w:left w:val="nil"/>
              <w:bottom w:val="single" w:sz="8" w:space="0" w:color="auto"/>
              <w:right w:val="single" w:sz="8" w:space="0" w:color="auto"/>
            </w:tcBorders>
            <w:shd w:val="clear" w:color="auto" w:fill="auto"/>
            <w:vAlign w:val="center"/>
            <w:hideMark/>
          </w:tcPr>
          <w:p w14:paraId="4389999F" w14:textId="77777777" w:rsidR="00E60C69" w:rsidRPr="00E60C69" w:rsidRDefault="00E60C69">
            <w:pPr>
              <w:rPr>
                <w:i/>
                <w:iCs/>
                <w:sz w:val="18"/>
                <w:szCs w:val="18"/>
              </w:rPr>
            </w:pPr>
            <w:r w:rsidRPr="00E60C69">
              <w:rPr>
                <w:i/>
                <w:iCs/>
                <w:sz w:val="18"/>
                <w:szCs w:val="18"/>
              </w:rPr>
              <w:t>w jednostkach powiązanych</w:t>
            </w:r>
          </w:p>
        </w:tc>
        <w:tc>
          <w:tcPr>
            <w:tcW w:w="1739" w:type="dxa"/>
            <w:tcBorders>
              <w:top w:val="nil"/>
              <w:left w:val="nil"/>
              <w:bottom w:val="single" w:sz="8" w:space="0" w:color="auto"/>
              <w:right w:val="single" w:sz="8" w:space="0" w:color="auto"/>
            </w:tcBorders>
            <w:shd w:val="clear" w:color="auto" w:fill="auto"/>
            <w:vAlign w:val="center"/>
            <w:hideMark/>
          </w:tcPr>
          <w:p w14:paraId="10D7307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2A6B3EEA"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6F59703F" w14:textId="77777777" w:rsidR="00E60C69" w:rsidRDefault="00E60C69">
            <w:pPr>
              <w:jc w:val="center"/>
              <w:rPr>
                <w:i/>
                <w:iCs/>
                <w:sz w:val="20"/>
                <w:szCs w:val="20"/>
              </w:rPr>
            </w:pPr>
            <w:r>
              <w:rPr>
                <w:i/>
                <w:iCs/>
                <w:sz w:val="20"/>
                <w:szCs w:val="20"/>
              </w:rPr>
              <w:t>0,00</w:t>
            </w:r>
          </w:p>
        </w:tc>
      </w:tr>
      <w:tr w:rsidR="00E60C69" w14:paraId="6A2EEE86" w14:textId="77777777" w:rsidTr="00E60C69">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8120D47" w14:textId="77777777" w:rsidR="00E60C69" w:rsidRPr="00E60C69" w:rsidRDefault="00E60C69">
            <w:pPr>
              <w:rPr>
                <w:sz w:val="18"/>
                <w:szCs w:val="18"/>
              </w:rPr>
            </w:pPr>
            <w:r w:rsidRPr="00E60C69">
              <w:rPr>
                <w:sz w:val="18"/>
                <w:szCs w:val="18"/>
              </w:rPr>
              <w:t>H.III.</w:t>
            </w:r>
          </w:p>
        </w:tc>
        <w:tc>
          <w:tcPr>
            <w:tcW w:w="2219" w:type="dxa"/>
            <w:tcBorders>
              <w:top w:val="nil"/>
              <w:left w:val="nil"/>
              <w:bottom w:val="single" w:sz="8" w:space="0" w:color="auto"/>
              <w:right w:val="single" w:sz="8" w:space="0" w:color="auto"/>
            </w:tcBorders>
            <w:shd w:val="clear" w:color="auto" w:fill="auto"/>
            <w:vAlign w:val="center"/>
            <w:hideMark/>
          </w:tcPr>
          <w:p w14:paraId="779435F4" w14:textId="77777777" w:rsidR="00E60C69" w:rsidRPr="00E60C69" w:rsidRDefault="00E60C69">
            <w:pPr>
              <w:rPr>
                <w:sz w:val="18"/>
                <w:szCs w:val="18"/>
              </w:rPr>
            </w:pPr>
            <w:r w:rsidRPr="00E60C69">
              <w:rPr>
                <w:sz w:val="18"/>
                <w:szCs w:val="18"/>
              </w:rPr>
              <w:t xml:space="preserve"> Aktualizacja wartości aktywów finansowych</w:t>
            </w:r>
          </w:p>
        </w:tc>
        <w:tc>
          <w:tcPr>
            <w:tcW w:w="1739" w:type="dxa"/>
            <w:tcBorders>
              <w:top w:val="nil"/>
              <w:left w:val="nil"/>
              <w:bottom w:val="single" w:sz="8" w:space="0" w:color="auto"/>
              <w:right w:val="single" w:sz="8" w:space="0" w:color="auto"/>
            </w:tcBorders>
            <w:shd w:val="clear" w:color="auto" w:fill="auto"/>
            <w:vAlign w:val="center"/>
            <w:hideMark/>
          </w:tcPr>
          <w:p w14:paraId="0BE6D7B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1ED5321"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789AEACF" w14:textId="77777777" w:rsidR="00E60C69" w:rsidRDefault="00E60C69">
            <w:pPr>
              <w:jc w:val="center"/>
              <w:rPr>
                <w:i/>
                <w:iCs/>
                <w:sz w:val="20"/>
                <w:szCs w:val="20"/>
              </w:rPr>
            </w:pPr>
            <w:r>
              <w:rPr>
                <w:i/>
                <w:iCs/>
                <w:sz w:val="20"/>
                <w:szCs w:val="20"/>
              </w:rPr>
              <w:t>0,00</w:t>
            </w:r>
          </w:p>
        </w:tc>
      </w:tr>
      <w:tr w:rsidR="00E60C69" w14:paraId="44B4EAD2"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581771A" w14:textId="77777777" w:rsidR="00E60C69" w:rsidRPr="00E60C69" w:rsidRDefault="00E60C69">
            <w:pPr>
              <w:rPr>
                <w:sz w:val="18"/>
                <w:szCs w:val="18"/>
              </w:rPr>
            </w:pPr>
            <w:r w:rsidRPr="00E60C69">
              <w:rPr>
                <w:sz w:val="18"/>
                <w:szCs w:val="18"/>
              </w:rPr>
              <w:t>H.IV.</w:t>
            </w:r>
          </w:p>
        </w:tc>
        <w:tc>
          <w:tcPr>
            <w:tcW w:w="2219" w:type="dxa"/>
            <w:tcBorders>
              <w:top w:val="nil"/>
              <w:left w:val="nil"/>
              <w:bottom w:val="single" w:sz="8" w:space="0" w:color="auto"/>
              <w:right w:val="single" w:sz="8" w:space="0" w:color="auto"/>
            </w:tcBorders>
            <w:shd w:val="clear" w:color="auto" w:fill="auto"/>
            <w:vAlign w:val="center"/>
            <w:hideMark/>
          </w:tcPr>
          <w:p w14:paraId="72C2F3EA" w14:textId="77777777" w:rsidR="00E60C69" w:rsidRPr="00E60C69" w:rsidRDefault="00E60C69">
            <w:pPr>
              <w:rPr>
                <w:sz w:val="18"/>
                <w:szCs w:val="18"/>
              </w:rPr>
            </w:pPr>
            <w:r w:rsidRPr="00E60C69">
              <w:rPr>
                <w:sz w:val="18"/>
                <w:szCs w:val="18"/>
              </w:rPr>
              <w:t>Inne</w:t>
            </w:r>
          </w:p>
        </w:tc>
        <w:tc>
          <w:tcPr>
            <w:tcW w:w="1739" w:type="dxa"/>
            <w:tcBorders>
              <w:top w:val="nil"/>
              <w:left w:val="nil"/>
              <w:bottom w:val="single" w:sz="8" w:space="0" w:color="auto"/>
              <w:right w:val="single" w:sz="8" w:space="0" w:color="auto"/>
            </w:tcBorders>
            <w:shd w:val="clear" w:color="auto" w:fill="auto"/>
            <w:vAlign w:val="center"/>
            <w:hideMark/>
          </w:tcPr>
          <w:p w14:paraId="3C143F2F" w14:textId="77777777" w:rsidR="00E60C69" w:rsidRDefault="00E60C69">
            <w:pPr>
              <w:jc w:val="center"/>
              <w:rPr>
                <w:i/>
                <w:iCs/>
                <w:sz w:val="20"/>
                <w:szCs w:val="20"/>
              </w:rPr>
            </w:pPr>
            <w:r>
              <w:rPr>
                <w:i/>
                <w:iCs/>
                <w:sz w:val="20"/>
                <w:szCs w:val="20"/>
              </w:rPr>
              <w:t>28 000,00</w:t>
            </w:r>
          </w:p>
        </w:tc>
        <w:tc>
          <w:tcPr>
            <w:tcW w:w="1779" w:type="dxa"/>
            <w:tcBorders>
              <w:top w:val="nil"/>
              <w:left w:val="nil"/>
              <w:bottom w:val="single" w:sz="8" w:space="0" w:color="auto"/>
              <w:right w:val="single" w:sz="8" w:space="0" w:color="auto"/>
            </w:tcBorders>
            <w:shd w:val="clear" w:color="auto" w:fill="auto"/>
            <w:vAlign w:val="center"/>
            <w:hideMark/>
          </w:tcPr>
          <w:p w14:paraId="6FC8CC8E" w14:textId="77777777" w:rsidR="00E60C69" w:rsidRDefault="00E60C69">
            <w:pPr>
              <w:jc w:val="center"/>
              <w:rPr>
                <w:i/>
                <w:iCs/>
                <w:sz w:val="20"/>
                <w:szCs w:val="20"/>
              </w:rPr>
            </w:pPr>
            <w:r>
              <w:rPr>
                <w:i/>
                <w:iCs/>
                <w:sz w:val="20"/>
                <w:szCs w:val="20"/>
              </w:rPr>
              <w:t>28 000,00</w:t>
            </w:r>
          </w:p>
        </w:tc>
        <w:tc>
          <w:tcPr>
            <w:tcW w:w="1779" w:type="dxa"/>
            <w:tcBorders>
              <w:top w:val="nil"/>
              <w:left w:val="nil"/>
              <w:bottom w:val="single" w:sz="8" w:space="0" w:color="auto"/>
              <w:right w:val="single" w:sz="8" w:space="0" w:color="auto"/>
            </w:tcBorders>
            <w:shd w:val="clear" w:color="auto" w:fill="auto"/>
            <w:vAlign w:val="center"/>
            <w:hideMark/>
          </w:tcPr>
          <w:p w14:paraId="055C65AA" w14:textId="77777777" w:rsidR="00E60C69" w:rsidRDefault="00E60C69">
            <w:pPr>
              <w:jc w:val="center"/>
              <w:rPr>
                <w:i/>
                <w:iCs/>
                <w:sz w:val="20"/>
                <w:szCs w:val="20"/>
              </w:rPr>
            </w:pPr>
            <w:r>
              <w:rPr>
                <w:i/>
                <w:iCs/>
                <w:sz w:val="20"/>
                <w:szCs w:val="20"/>
              </w:rPr>
              <w:t>28 000,00</w:t>
            </w:r>
          </w:p>
        </w:tc>
      </w:tr>
      <w:tr w:rsidR="00E60C69" w14:paraId="6423E641"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6BA15FBD" w14:textId="77777777" w:rsidR="00E60C69" w:rsidRPr="00E60C69" w:rsidRDefault="00E60C69">
            <w:pPr>
              <w:rPr>
                <w:b/>
                <w:bCs/>
                <w:sz w:val="18"/>
                <w:szCs w:val="18"/>
              </w:rPr>
            </w:pPr>
            <w:r w:rsidRPr="00E60C69">
              <w:rPr>
                <w:b/>
                <w:bCs/>
                <w:sz w:val="18"/>
                <w:szCs w:val="18"/>
              </w:rPr>
              <w:t>I.</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28E2D39E" w14:textId="77777777" w:rsidR="00E60C69" w:rsidRPr="00E60C69" w:rsidRDefault="00E60C69">
            <w:pPr>
              <w:rPr>
                <w:b/>
                <w:bCs/>
                <w:sz w:val="18"/>
                <w:szCs w:val="18"/>
              </w:rPr>
            </w:pPr>
            <w:r w:rsidRPr="00E60C69">
              <w:rPr>
                <w:b/>
                <w:bCs/>
                <w:sz w:val="18"/>
                <w:szCs w:val="18"/>
              </w:rPr>
              <w:t xml:space="preserve"> Zysk (strata) brutto (F+G-H)</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20DD14EA" w14:textId="77777777" w:rsidR="00E60C69" w:rsidRDefault="00E60C69">
            <w:pPr>
              <w:jc w:val="center"/>
              <w:rPr>
                <w:b/>
                <w:bCs/>
                <w:i/>
                <w:iCs/>
                <w:sz w:val="20"/>
                <w:szCs w:val="20"/>
              </w:rPr>
            </w:pPr>
            <w:r>
              <w:rPr>
                <w:b/>
                <w:bCs/>
                <w:i/>
                <w:iCs/>
                <w:sz w:val="20"/>
                <w:szCs w:val="20"/>
              </w:rPr>
              <w:t>-505 200,00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5C78178B" w14:textId="77777777" w:rsidR="00E60C69" w:rsidRDefault="00E60C69">
            <w:pPr>
              <w:jc w:val="center"/>
              <w:rPr>
                <w:b/>
                <w:bCs/>
                <w:i/>
                <w:iCs/>
                <w:sz w:val="20"/>
                <w:szCs w:val="20"/>
              </w:rPr>
            </w:pPr>
            <w:r>
              <w:rPr>
                <w:b/>
                <w:bCs/>
                <w:i/>
                <w:iCs/>
                <w:sz w:val="20"/>
                <w:szCs w:val="20"/>
              </w:rPr>
              <w:t>-362 300,00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062C14BA" w14:textId="77777777" w:rsidR="00E60C69" w:rsidRDefault="00E60C69">
            <w:pPr>
              <w:jc w:val="center"/>
              <w:rPr>
                <w:b/>
                <w:bCs/>
                <w:i/>
                <w:iCs/>
                <w:sz w:val="20"/>
                <w:szCs w:val="20"/>
              </w:rPr>
            </w:pPr>
            <w:r>
              <w:rPr>
                <w:b/>
                <w:bCs/>
                <w:i/>
                <w:iCs/>
                <w:sz w:val="20"/>
                <w:szCs w:val="20"/>
              </w:rPr>
              <w:t>-135 200,00</w:t>
            </w:r>
          </w:p>
        </w:tc>
      </w:tr>
      <w:tr w:rsidR="00E60C69" w14:paraId="74BD27C5"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0453EC7" w14:textId="77777777" w:rsidR="00E60C69" w:rsidRPr="00E60C69" w:rsidRDefault="00E60C69">
            <w:pPr>
              <w:rPr>
                <w:sz w:val="18"/>
                <w:szCs w:val="18"/>
              </w:rPr>
            </w:pPr>
            <w:r w:rsidRPr="00E60C69">
              <w:rPr>
                <w:sz w:val="18"/>
                <w:szCs w:val="18"/>
              </w:rPr>
              <w:t>J.</w:t>
            </w:r>
          </w:p>
        </w:tc>
        <w:tc>
          <w:tcPr>
            <w:tcW w:w="2219" w:type="dxa"/>
            <w:tcBorders>
              <w:top w:val="nil"/>
              <w:left w:val="nil"/>
              <w:bottom w:val="single" w:sz="8" w:space="0" w:color="auto"/>
              <w:right w:val="single" w:sz="8" w:space="0" w:color="auto"/>
            </w:tcBorders>
            <w:shd w:val="clear" w:color="auto" w:fill="auto"/>
            <w:vAlign w:val="center"/>
            <w:hideMark/>
          </w:tcPr>
          <w:p w14:paraId="0B86391B" w14:textId="77777777" w:rsidR="00E60C69" w:rsidRPr="00E60C69" w:rsidRDefault="00E60C69">
            <w:pPr>
              <w:rPr>
                <w:sz w:val="18"/>
                <w:szCs w:val="18"/>
              </w:rPr>
            </w:pPr>
            <w:r w:rsidRPr="00E60C69">
              <w:rPr>
                <w:sz w:val="18"/>
                <w:szCs w:val="18"/>
              </w:rPr>
              <w:t xml:space="preserve"> Podatek dochodowy</w:t>
            </w:r>
          </w:p>
        </w:tc>
        <w:tc>
          <w:tcPr>
            <w:tcW w:w="1739" w:type="dxa"/>
            <w:tcBorders>
              <w:top w:val="nil"/>
              <w:left w:val="nil"/>
              <w:bottom w:val="single" w:sz="8" w:space="0" w:color="auto"/>
              <w:right w:val="single" w:sz="8" w:space="0" w:color="auto"/>
            </w:tcBorders>
            <w:shd w:val="clear" w:color="auto" w:fill="auto"/>
            <w:vAlign w:val="center"/>
            <w:hideMark/>
          </w:tcPr>
          <w:p w14:paraId="374967FF"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16277B67"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03B5E920" w14:textId="77777777" w:rsidR="00E60C69" w:rsidRDefault="00E60C69">
            <w:pPr>
              <w:jc w:val="center"/>
              <w:rPr>
                <w:i/>
                <w:iCs/>
                <w:sz w:val="20"/>
                <w:szCs w:val="20"/>
              </w:rPr>
            </w:pPr>
            <w:r>
              <w:rPr>
                <w:i/>
                <w:iCs/>
                <w:sz w:val="20"/>
                <w:szCs w:val="20"/>
              </w:rPr>
              <w:t>0,00</w:t>
            </w:r>
          </w:p>
        </w:tc>
      </w:tr>
      <w:tr w:rsidR="00E60C69" w14:paraId="4EBF2D98" w14:textId="77777777" w:rsidTr="00E60C69">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7ABA4C8" w14:textId="77777777" w:rsidR="00E60C69" w:rsidRPr="00E60C69" w:rsidRDefault="00E60C69">
            <w:pPr>
              <w:rPr>
                <w:sz w:val="18"/>
                <w:szCs w:val="18"/>
              </w:rPr>
            </w:pPr>
            <w:r w:rsidRPr="00E60C69">
              <w:rPr>
                <w:sz w:val="18"/>
                <w:szCs w:val="18"/>
              </w:rPr>
              <w:t>K.</w:t>
            </w:r>
          </w:p>
        </w:tc>
        <w:tc>
          <w:tcPr>
            <w:tcW w:w="2219" w:type="dxa"/>
            <w:tcBorders>
              <w:top w:val="nil"/>
              <w:left w:val="nil"/>
              <w:bottom w:val="single" w:sz="8" w:space="0" w:color="auto"/>
              <w:right w:val="single" w:sz="8" w:space="0" w:color="auto"/>
            </w:tcBorders>
            <w:shd w:val="clear" w:color="auto" w:fill="auto"/>
            <w:vAlign w:val="center"/>
            <w:hideMark/>
          </w:tcPr>
          <w:p w14:paraId="2EDD5C02" w14:textId="77777777" w:rsidR="00E60C69" w:rsidRPr="00E60C69" w:rsidRDefault="00E60C69">
            <w:pPr>
              <w:rPr>
                <w:sz w:val="18"/>
                <w:szCs w:val="18"/>
              </w:rPr>
            </w:pPr>
            <w:r w:rsidRPr="00E60C69">
              <w:rPr>
                <w:sz w:val="18"/>
                <w:szCs w:val="18"/>
              </w:rPr>
              <w:t>Pozostałe obowiązkowe zmniejszenia zysku (zwiększenia straty)</w:t>
            </w:r>
          </w:p>
        </w:tc>
        <w:tc>
          <w:tcPr>
            <w:tcW w:w="1739" w:type="dxa"/>
            <w:tcBorders>
              <w:top w:val="nil"/>
              <w:left w:val="nil"/>
              <w:bottom w:val="single" w:sz="8" w:space="0" w:color="auto"/>
              <w:right w:val="single" w:sz="8" w:space="0" w:color="auto"/>
            </w:tcBorders>
            <w:shd w:val="clear" w:color="auto" w:fill="auto"/>
            <w:vAlign w:val="center"/>
            <w:hideMark/>
          </w:tcPr>
          <w:p w14:paraId="7D1F79E9"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3B94E0E5" w14:textId="77777777" w:rsidR="00E60C69" w:rsidRDefault="00E60C69">
            <w:pPr>
              <w:jc w:val="center"/>
              <w:rPr>
                <w:i/>
                <w:iCs/>
                <w:sz w:val="20"/>
                <w:szCs w:val="20"/>
              </w:rPr>
            </w:pPr>
            <w:r>
              <w:rPr>
                <w:i/>
                <w:iCs/>
                <w:sz w:val="20"/>
                <w:szCs w:val="20"/>
              </w:rPr>
              <w:t>0,00</w:t>
            </w:r>
          </w:p>
        </w:tc>
        <w:tc>
          <w:tcPr>
            <w:tcW w:w="1779" w:type="dxa"/>
            <w:tcBorders>
              <w:top w:val="nil"/>
              <w:left w:val="nil"/>
              <w:bottom w:val="single" w:sz="8" w:space="0" w:color="auto"/>
              <w:right w:val="single" w:sz="8" w:space="0" w:color="auto"/>
            </w:tcBorders>
            <w:shd w:val="clear" w:color="auto" w:fill="auto"/>
            <w:vAlign w:val="center"/>
            <w:hideMark/>
          </w:tcPr>
          <w:p w14:paraId="598497C4" w14:textId="77777777" w:rsidR="00E60C69" w:rsidRDefault="00E60C69">
            <w:pPr>
              <w:jc w:val="center"/>
              <w:rPr>
                <w:i/>
                <w:iCs/>
                <w:sz w:val="20"/>
                <w:szCs w:val="20"/>
              </w:rPr>
            </w:pPr>
            <w:r>
              <w:rPr>
                <w:i/>
                <w:iCs/>
                <w:sz w:val="20"/>
                <w:szCs w:val="20"/>
              </w:rPr>
              <w:t>0,00</w:t>
            </w:r>
          </w:p>
        </w:tc>
      </w:tr>
      <w:tr w:rsidR="00E60C69" w14:paraId="3D1FE1FD" w14:textId="77777777">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1744EF92" w14:textId="77777777" w:rsidR="00E60C69" w:rsidRPr="00E60C69" w:rsidRDefault="00E60C69">
            <w:pPr>
              <w:rPr>
                <w:b/>
                <w:bCs/>
                <w:sz w:val="18"/>
                <w:szCs w:val="18"/>
              </w:rPr>
            </w:pPr>
            <w:r w:rsidRPr="00E60C69">
              <w:rPr>
                <w:b/>
                <w:bCs/>
                <w:sz w:val="18"/>
                <w:szCs w:val="18"/>
              </w:rPr>
              <w:lastRenderedPageBreak/>
              <w:t>L.</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4AA7753A" w14:textId="77777777" w:rsidR="00E60C69" w:rsidRPr="00E60C69" w:rsidRDefault="00E60C69">
            <w:pPr>
              <w:rPr>
                <w:b/>
                <w:bCs/>
                <w:sz w:val="18"/>
                <w:szCs w:val="18"/>
              </w:rPr>
            </w:pPr>
            <w:r w:rsidRPr="00E60C69">
              <w:rPr>
                <w:b/>
                <w:bCs/>
                <w:sz w:val="18"/>
                <w:szCs w:val="18"/>
              </w:rPr>
              <w:t xml:space="preserve"> Zysk (strata) netto (I-J-K)</w:t>
            </w:r>
          </w:p>
        </w:tc>
        <w:tc>
          <w:tcPr>
            <w:tcW w:w="1739" w:type="dxa"/>
            <w:tcBorders>
              <w:top w:val="single" w:sz="8" w:space="0" w:color="auto"/>
              <w:left w:val="nil"/>
              <w:bottom w:val="single" w:sz="8" w:space="0" w:color="auto"/>
              <w:right w:val="single" w:sz="8" w:space="0" w:color="auto"/>
            </w:tcBorders>
            <w:shd w:val="clear" w:color="000000" w:fill="9CC2E5"/>
            <w:vAlign w:val="center"/>
            <w:hideMark/>
          </w:tcPr>
          <w:p w14:paraId="15490CF6" w14:textId="77777777" w:rsidR="00E60C69" w:rsidRDefault="00E60C69">
            <w:pPr>
              <w:jc w:val="center"/>
              <w:rPr>
                <w:b/>
                <w:bCs/>
                <w:i/>
                <w:iCs/>
                <w:sz w:val="20"/>
                <w:szCs w:val="20"/>
              </w:rPr>
            </w:pPr>
            <w:r>
              <w:rPr>
                <w:b/>
                <w:bCs/>
                <w:i/>
                <w:iCs/>
                <w:sz w:val="20"/>
                <w:szCs w:val="20"/>
              </w:rPr>
              <w:t>-505 200,00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2E82F982" w14:textId="77777777" w:rsidR="00E60C69" w:rsidRDefault="00E60C69">
            <w:pPr>
              <w:jc w:val="center"/>
              <w:rPr>
                <w:b/>
                <w:bCs/>
                <w:i/>
                <w:iCs/>
                <w:sz w:val="20"/>
                <w:szCs w:val="20"/>
              </w:rPr>
            </w:pPr>
            <w:r>
              <w:rPr>
                <w:b/>
                <w:bCs/>
                <w:i/>
                <w:iCs/>
                <w:sz w:val="20"/>
                <w:szCs w:val="20"/>
              </w:rPr>
              <w:t>-362 300,00</w:t>
            </w:r>
          </w:p>
        </w:tc>
        <w:tc>
          <w:tcPr>
            <w:tcW w:w="1779" w:type="dxa"/>
            <w:tcBorders>
              <w:top w:val="single" w:sz="8" w:space="0" w:color="auto"/>
              <w:left w:val="nil"/>
              <w:bottom w:val="single" w:sz="8" w:space="0" w:color="auto"/>
              <w:right w:val="single" w:sz="8" w:space="0" w:color="auto"/>
            </w:tcBorders>
            <w:shd w:val="clear" w:color="000000" w:fill="9CC2E5"/>
            <w:vAlign w:val="center"/>
            <w:hideMark/>
          </w:tcPr>
          <w:p w14:paraId="71AAB648" w14:textId="77777777" w:rsidR="00E60C69" w:rsidRDefault="00E60C69">
            <w:pPr>
              <w:jc w:val="center"/>
              <w:rPr>
                <w:b/>
                <w:bCs/>
                <w:i/>
                <w:iCs/>
                <w:sz w:val="20"/>
                <w:szCs w:val="20"/>
              </w:rPr>
            </w:pPr>
            <w:r>
              <w:rPr>
                <w:b/>
                <w:bCs/>
                <w:i/>
                <w:iCs/>
                <w:sz w:val="20"/>
                <w:szCs w:val="20"/>
              </w:rPr>
              <w:t>-135 200,00</w:t>
            </w:r>
          </w:p>
        </w:tc>
      </w:tr>
      <w:tr w:rsidR="00E60C69" w14:paraId="39B69BCE"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B2D8E3D" w14:textId="77777777" w:rsidR="00E60C69" w:rsidRPr="00E60C69" w:rsidRDefault="00E60C69">
            <w:pPr>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6DB68024" w14:textId="77777777" w:rsidR="00E60C69" w:rsidRPr="00E60C69" w:rsidRDefault="00E60C69">
            <w:pPr>
              <w:jc w:val="center"/>
              <w:rPr>
                <w:sz w:val="18"/>
                <w:szCs w:val="18"/>
              </w:rPr>
            </w:pPr>
            <w:r w:rsidRPr="00E60C69">
              <w:rPr>
                <w:sz w:val="18"/>
                <w:szCs w:val="18"/>
              </w:rPr>
              <w:t> </w:t>
            </w:r>
          </w:p>
        </w:tc>
        <w:tc>
          <w:tcPr>
            <w:tcW w:w="1739" w:type="dxa"/>
            <w:tcBorders>
              <w:top w:val="nil"/>
              <w:left w:val="nil"/>
              <w:bottom w:val="single" w:sz="8" w:space="0" w:color="auto"/>
              <w:right w:val="single" w:sz="8" w:space="0" w:color="auto"/>
            </w:tcBorders>
            <w:shd w:val="clear" w:color="auto" w:fill="auto"/>
            <w:vAlign w:val="center"/>
            <w:hideMark/>
          </w:tcPr>
          <w:p w14:paraId="0D5ED7F2" w14:textId="77777777" w:rsidR="00E60C69" w:rsidRDefault="00E60C69">
            <w:pPr>
              <w:jc w:val="center"/>
              <w:rPr>
                <w:sz w:val="20"/>
                <w:szCs w:val="20"/>
              </w:rPr>
            </w:pPr>
            <w:r>
              <w:rPr>
                <w:sz w:val="20"/>
                <w:szCs w:val="20"/>
              </w:rPr>
              <w:t> </w:t>
            </w:r>
          </w:p>
        </w:tc>
        <w:tc>
          <w:tcPr>
            <w:tcW w:w="1779" w:type="dxa"/>
            <w:tcBorders>
              <w:top w:val="nil"/>
              <w:left w:val="nil"/>
              <w:bottom w:val="single" w:sz="8" w:space="0" w:color="auto"/>
              <w:right w:val="single" w:sz="8" w:space="0" w:color="auto"/>
            </w:tcBorders>
            <w:shd w:val="clear" w:color="auto" w:fill="auto"/>
            <w:vAlign w:val="center"/>
            <w:hideMark/>
          </w:tcPr>
          <w:p w14:paraId="0A8F23ED" w14:textId="77777777" w:rsidR="00E60C69" w:rsidRDefault="00E60C69">
            <w:pPr>
              <w:jc w:val="center"/>
              <w:rPr>
                <w:sz w:val="20"/>
                <w:szCs w:val="20"/>
              </w:rPr>
            </w:pPr>
            <w:r>
              <w:rPr>
                <w:sz w:val="20"/>
                <w:szCs w:val="20"/>
              </w:rPr>
              <w:t> </w:t>
            </w:r>
          </w:p>
        </w:tc>
        <w:tc>
          <w:tcPr>
            <w:tcW w:w="1779" w:type="dxa"/>
            <w:tcBorders>
              <w:top w:val="nil"/>
              <w:left w:val="nil"/>
              <w:bottom w:val="single" w:sz="8" w:space="0" w:color="auto"/>
              <w:right w:val="single" w:sz="8" w:space="0" w:color="auto"/>
            </w:tcBorders>
            <w:shd w:val="clear" w:color="auto" w:fill="auto"/>
            <w:vAlign w:val="center"/>
            <w:hideMark/>
          </w:tcPr>
          <w:p w14:paraId="3061F9BD" w14:textId="77777777" w:rsidR="00E60C69" w:rsidRDefault="00E60C69">
            <w:pPr>
              <w:jc w:val="center"/>
              <w:rPr>
                <w:sz w:val="20"/>
                <w:szCs w:val="20"/>
              </w:rPr>
            </w:pPr>
            <w:r>
              <w:rPr>
                <w:sz w:val="20"/>
                <w:szCs w:val="20"/>
              </w:rPr>
              <w:t> </w:t>
            </w:r>
          </w:p>
        </w:tc>
      </w:tr>
      <w:tr w:rsidR="00E60C69" w14:paraId="0F37C203"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D840701" w14:textId="77777777" w:rsidR="00E60C69" w:rsidRPr="00E60C69" w:rsidRDefault="00E60C69">
            <w:pPr>
              <w:rPr>
                <w:b/>
                <w:bCs/>
                <w:sz w:val="18"/>
                <w:szCs w:val="18"/>
              </w:rPr>
            </w:pPr>
            <w:r w:rsidRPr="00E60C69">
              <w:rPr>
                <w:b/>
                <w:bCs/>
                <w:sz w:val="18"/>
                <w:szCs w:val="18"/>
              </w:rPr>
              <w:t>1</w:t>
            </w:r>
          </w:p>
        </w:tc>
        <w:tc>
          <w:tcPr>
            <w:tcW w:w="2219" w:type="dxa"/>
            <w:tcBorders>
              <w:top w:val="nil"/>
              <w:left w:val="nil"/>
              <w:bottom w:val="single" w:sz="8" w:space="0" w:color="auto"/>
              <w:right w:val="single" w:sz="8" w:space="0" w:color="auto"/>
            </w:tcBorders>
            <w:shd w:val="clear" w:color="auto" w:fill="auto"/>
            <w:vAlign w:val="center"/>
            <w:hideMark/>
          </w:tcPr>
          <w:p w14:paraId="3D0D6AAF" w14:textId="77777777" w:rsidR="00E60C69" w:rsidRPr="00E60C69" w:rsidRDefault="00E60C69">
            <w:pPr>
              <w:rPr>
                <w:b/>
                <w:bCs/>
                <w:sz w:val="18"/>
                <w:szCs w:val="18"/>
              </w:rPr>
            </w:pPr>
            <w:r w:rsidRPr="00E60C69">
              <w:rPr>
                <w:b/>
                <w:bCs/>
                <w:sz w:val="18"/>
                <w:szCs w:val="18"/>
              </w:rPr>
              <w:t>Suma Przychodów</w:t>
            </w:r>
          </w:p>
        </w:tc>
        <w:tc>
          <w:tcPr>
            <w:tcW w:w="1739" w:type="dxa"/>
            <w:tcBorders>
              <w:top w:val="nil"/>
              <w:left w:val="nil"/>
              <w:bottom w:val="single" w:sz="8" w:space="0" w:color="auto"/>
              <w:right w:val="single" w:sz="8" w:space="0" w:color="auto"/>
            </w:tcBorders>
            <w:shd w:val="clear" w:color="000000" w:fill="FFFFFF"/>
            <w:vAlign w:val="center"/>
            <w:hideMark/>
          </w:tcPr>
          <w:p w14:paraId="46C293B1" w14:textId="77777777" w:rsidR="00E60C69" w:rsidRDefault="00E60C69">
            <w:pPr>
              <w:jc w:val="center"/>
              <w:rPr>
                <w:b/>
                <w:bCs/>
                <w:sz w:val="20"/>
                <w:szCs w:val="20"/>
              </w:rPr>
            </w:pPr>
            <w:r>
              <w:rPr>
                <w:b/>
                <w:bCs/>
                <w:sz w:val="20"/>
                <w:szCs w:val="20"/>
              </w:rPr>
              <w:t>25 243 500,00</w:t>
            </w:r>
          </w:p>
        </w:tc>
        <w:tc>
          <w:tcPr>
            <w:tcW w:w="1779" w:type="dxa"/>
            <w:tcBorders>
              <w:top w:val="nil"/>
              <w:left w:val="nil"/>
              <w:bottom w:val="single" w:sz="8" w:space="0" w:color="auto"/>
              <w:right w:val="single" w:sz="8" w:space="0" w:color="auto"/>
            </w:tcBorders>
            <w:shd w:val="clear" w:color="000000" w:fill="FFFFFF"/>
            <w:vAlign w:val="center"/>
            <w:hideMark/>
          </w:tcPr>
          <w:p w14:paraId="31A8B828" w14:textId="77777777" w:rsidR="00E60C69" w:rsidRDefault="00E60C69">
            <w:pPr>
              <w:jc w:val="center"/>
              <w:rPr>
                <w:b/>
                <w:bCs/>
                <w:sz w:val="20"/>
                <w:szCs w:val="20"/>
              </w:rPr>
            </w:pPr>
            <w:r>
              <w:rPr>
                <w:b/>
                <w:bCs/>
                <w:sz w:val="20"/>
                <w:szCs w:val="20"/>
              </w:rPr>
              <w:t>25 540 400,00</w:t>
            </w:r>
          </w:p>
        </w:tc>
        <w:tc>
          <w:tcPr>
            <w:tcW w:w="1779" w:type="dxa"/>
            <w:tcBorders>
              <w:top w:val="nil"/>
              <w:left w:val="nil"/>
              <w:bottom w:val="single" w:sz="8" w:space="0" w:color="auto"/>
              <w:right w:val="single" w:sz="8" w:space="0" w:color="auto"/>
            </w:tcBorders>
            <w:shd w:val="clear" w:color="000000" w:fill="FFFFFF"/>
            <w:vAlign w:val="center"/>
            <w:hideMark/>
          </w:tcPr>
          <w:p w14:paraId="30AD9B9E" w14:textId="77777777" w:rsidR="00E60C69" w:rsidRDefault="00E60C69">
            <w:pPr>
              <w:jc w:val="center"/>
              <w:rPr>
                <w:b/>
                <w:bCs/>
                <w:sz w:val="20"/>
                <w:szCs w:val="20"/>
              </w:rPr>
            </w:pPr>
            <w:r>
              <w:rPr>
                <w:b/>
                <w:bCs/>
                <w:sz w:val="20"/>
                <w:szCs w:val="20"/>
              </w:rPr>
              <w:t>26 090 500,00</w:t>
            </w:r>
          </w:p>
        </w:tc>
      </w:tr>
      <w:tr w:rsidR="00E60C69" w14:paraId="2026DA80" w14:textId="77777777" w:rsidTr="00E60C69">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91A96BF" w14:textId="77777777" w:rsidR="00E60C69" w:rsidRPr="00E60C69" w:rsidRDefault="00E60C69">
            <w:pPr>
              <w:rPr>
                <w:b/>
                <w:bCs/>
                <w:sz w:val="18"/>
                <w:szCs w:val="18"/>
              </w:rPr>
            </w:pPr>
            <w:r w:rsidRPr="00E60C69">
              <w:rPr>
                <w:b/>
                <w:bCs/>
                <w:sz w:val="18"/>
                <w:szCs w:val="18"/>
              </w:rPr>
              <w:t>2</w:t>
            </w:r>
          </w:p>
        </w:tc>
        <w:tc>
          <w:tcPr>
            <w:tcW w:w="2219" w:type="dxa"/>
            <w:tcBorders>
              <w:top w:val="nil"/>
              <w:left w:val="nil"/>
              <w:bottom w:val="single" w:sz="8" w:space="0" w:color="auto"/>
              <w:right w:val="single" w:sz="8" w:space="0" w:color="auto"/>
            </w:tcBorders>
            <w:shd w:val="clear" w:color="auto" w:fill="auto"/>
            <w:vAlign w:val="center"/>
            <w:hideMark/>
          </w:tcPr>
          <w:p w14:paraId="3C161D4A" w14:textId="77777777" w:rsidR="00E60C69" w:rsidRPr="00E60C69" w:rsidRDefault="00E60C69">
            <w:pPr>
              <w:rPr>
                <w:b/>
                <w:bCs/>
                <w:sz w:val="18"/>
                <w:szCs w:val="18"/>
              </w:rPr>
            </w:pPr>
            <w:r w:rsidRPr="00E60C69">
              <w:rPr>
                <w:b/>
                <w:bCs/>
                <w:sz w:val="18"/>
                <w:szCs w:val="18"/>
              </w:rPr>
              <w:t>Suma Kosztów</w:t>
            </w:r>
          </w:p>
        </w:tc>
        <w:tc>
          <w:tcPr>
            <w:tcW w:w="1739" w:type="dxa"/>
            <w:tcBorders>
              <w:top w:val="nil"/>
              <w:left w:val="nil"/>
              <w:bottom w:val="single" w:sz="8" w:space="0" w:color="auto"/>
              <w:right w:val="single" w:sz="8" w:space="0" w:color="auto"/>
            </w:tcBorders>
            <w:shd w:val="clear" w:color="000000" w:fill="FFFFFF"/>
            <w:vAlign w:val="center"/>
            <w:hideMark/>
          </w:tcPr>
          <w:p w14:paraId="376E7C0C" w14:textId="77777777" w:rsidR="00E60C69" w:rsidRDefault="00E60C69">
            <w:pPr>
              <w:jc w:val="center"/>
              <w:rPr>
                <w:b/>
                <w:bCs/>
                <w:sz w:val="20"/>
                <w:szCs w:val="20"/>
              </w:rPr>
            </w:pPr>
            <w:r>
              <w:rPr>
                <w:b/>
                <w:bCs/>
                <w:sz w:val="20"/>
                <w:szCs w:val="20"/>
              </w:rPr>
              <w:t>25 748 700,00</w:t>
            </w:r>
          </w:p>
        </w:tc>
        <w:tc>
          <w:tcPr>
            <w:tcW w:w="1779" w:type="dxa"/>
            <w:tcBorders>
              <w:top w:val="nil"/>
              <w:left w:val="nil"/>
              <w:bottom w:val="single" w:sz="8" w:space="0" w:color="auto"/>
              <w:right w:val="single" w:sz="8" w:space="0" w:color="auto"/>
            </w:tcBorders>
            <w:shd w:val="clear" w:color="000000" w:fill="FFFFFF"/>
            <w:vAlign w:val="center"/>
            <w:hideMark/>
          </w:tcPr>
          <w:p w14:paraId="24999BDF" w14:textId="77777777" w:rsidR="00E60C69" w:rsidRDefault="00E60C69">
            <w:pPr>
              <w:jc w:val="center"/>
              <w:rPr>
                <w:b/>
                <w:bCs/>
                <w:sz w:val="20"/>
                <w:szCs w:val="20"/>
              </w:rPr>
            </w:pPr>
            <w:r>
              <w:rPr>
                <w:b/>
                <w:bCs/>
                <w:sz w:val="20"/>
                <w:szCs w:val="20"/>
              </w:rPr>
              <w:t>25 902 700,00</w:t>
            </w:r>
          </w:p>
        </w:tc>
        <w:tc>
          <w:tcPr>
            <w:tcW w:w="1779" w:type="dxa"/>
            <w:tcBorders>
              <w:top w:val="nil"/>
              <w:left w:val="nil"/>
              <w:bottom w:val="single" w:sz="8" w:space="0" w:color="auto"/>
              <w:right w:val="single" w:sz="8" w:space="0" w:color="auto"/>
            </w:tcBorders>
            <w:shd w:val="clear" w:color="000000" w:fill="FFFFFF"/>
            <w:vAlign w:val="center"/>
            <w:hideMark/>
          </w:tcPr>
          <w:p w14:paraId="33FD86BD" w14:textId="77777777" w:rsidR="00E60C69" w:rsidRDefault="00E60C69">
            <w:pPr>
              <w:jc w:val="center"/>
              <w:rPr>
                <w:b/>
                <w:bCs/>
                <w:sz w:val="20"/>
                <w:szCs w:val="20"/>
              </w:rPr>
            </w:pPr>
            <w:r>
              <w:rPr>
                <w:b/>
                <w:bCs/>
                <w:sz w:val="20"/>
                <w:szCs w:val="20"/>
              </w:rPr>
              <w:t>26 225 700,00</w:t>
            </w:r>
          </w:p>
        </w:tc>
      </w:tr>
    </w:tbl>
    <w:p w14:paraId="7CCCFC3D" w14:textId="77777777" w:rsidR="00DD2510" w:rsidRPr="002B78A5" w:rsidRDefault="00DD2510" w:rsidP="002B78A5"/>
    <w:p w14:paraId="5EF59AC8" w14:textId="33676871" w:rsidR="00DD2510" w:rsidRDefault="00DD2510" w:rsidP="00CC07AC">
      <w:pPr>
        <w:pStyle w:val="Nagwek2"/>
        <w:framePr w:wrap="auto"/>
      </w:pPr>
      <w:bookmarkStart w:id="21" w:name="_Toc132708835"/>
      <w:r>
        <w:t>Prognoza bilansu za lata 202</w:t>
      </w:r>
      <w:r w:rsidR="00971748">
        <w:t>3</w:t>
      </w:r>
      <w:r>
        <w:t>, 202</w:t>
      </w:r>
      <w:r w:rsidR="00971748">
        <w:t>4</w:t>
      </w:r>
      <w:r>
        <w:t>, 202</w:t>
      </w:r>
      <w:r w:rsidR="00971748">
        <w:t>5</w:t>
      </w:r>
      <w:r>
        <w:t>.</w:t>
      </w:r>
      <w:bookmarkEnd w:id="21"/>
    </w:p>
    <w:p w14:paraId="2B3C3CED" w14:textId="77777777" w:rsidR="00906F48" w:rsidRDefault="00906F48" w:rsidP="00906F48"/>
    <w:tbl>
      <w:tblPr>
        <w:tblW w:w="9700" w:type="dxa"/>
        <w:tblInd w:w="80" w:type="dxa"/>
        <w:tblCellMar>
          <w:left w:w="70" w:type="dxa"/>
          <w:right w:w="70" w:type="dxa"/>
        </w:tblCellMar>
        <w:tblLook w:val="04A0" w:firstRow="1" w:lastRow="0" w:firstColumn="1" w:lastColumn="0" w:noHBand="0" w:noVBand="1"/>
      </w:tblPr>
      <w:tblGrid>
        <w:gridCol w:w="1503"/>
        <w:gridCol w:w="2146"/>
        <w:gridCol w:w="1709"/>
        <w:gridCol w:w="2098"/>
        <w:gridCol w:w="2098"/>
        <w:gridCol w:w="146"/>
      </w:tblGrid>
      <w:tr w:rsidR="00906F48" w:rsidRPr="00906F48" w14:paraId="2A22589C" w14:textId="77777777" w:rsidTr="00906F48">
        <w:trPr>
          <w:gridAfter w:val="1"/>
          <w:wAfter w:w="36" w:type="dxa"/>
          <w:trHeight w:val="315"/>
        </w:trPr>
        <w:tc>
          <w:tcPr>
            <w:tcW w:w="966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A272FF" w14:textId="77777777" w:rsidR="00906F48" w:rsidRPr="00906F48" w:rsidRDefault="00906F48" w:rsidP="00906F48">
            <w:pPr>
              <w:suppressAutoHyphens w:val="0"/>
              <w:spacing w:line="240" w:lineRule="auto"/>
              <w:jc w:val="center"/>
              <w:rPr>
                <w:b/>
                <w:bCs/>
                <w:sz w:val="22"/>
                <w:szCs w:val="22"/>
                <w:lang w:eastAsia="pl-PL"/>
              </w:rPr>
            </w:pPr>
            <w:r w:rsidRPr="00906F48">
              <w:rPr>
                <w:b/>
                <w:bCs/>
                <w:sz w:val="22"/>
                <w:szCs w:val="22"/>
                <w:lang w:eastAsia="pl-PL"/>
              </w:rPr>
              <w:t>BILANS</w:t>
            </w:r>
          </w:p>
        </w:tc>
      </w:tr>
      <w:tr w:rsidR="00906F48" w:rsidRPr="00906F48" w14:paraId="022D1E8B"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2AE2674" w14:textId="77777777" w:rsidR="00906F48" w:rsidRPr="00906F48" w:rsidRDefault="00906F48" w:rsidP="00906F48">
            <w:pPr>
              <w:suppressAutoHyphens w:val="0"/>
              <w:spacing w:line="240" w:lineRule="auto"/>
              <w:rPr>
                <w:sz w:val="20"/>
                <w:szCs w:val="20"/>
                <w:lang w:eastAsia="pl-PL"/>
              </w:rPr>
            </w:pPr>
            <w:r w:rsidRPr="00906F48">
              <w:rPr>
                <w:sz w:val="20"/>
                <w:szCs w:val="20"/>
                <w:lang w:eastAsia="pl-PL"/>
              </w:rPr>
              <w:t>KOD</w:t>
            </w:r>
          </w:p>
        </w:tc>
        <w:tc>
          <w:tcPr>
            <w:tcW w:w="2156" w:type="dxa"/>
            <w:tcBorders>
              <w:top w:val="nil"/>
              <w:left w:val="nil"/>
              <w:bottom w:val="single" w:sz="8" w:space="0" w:color="auto"/>
              <w:right w:val="single" w:sz="8" w:space="0" w:color="auto"/>
            </w:tcBorders>
            <w:shd w:val="clear" w:color="auto" w:fill="auto"/>
            <w:vAlign w:val="center"/>
            <w:hideMark/>
          </w:tcPr>
          <w:p w14:paraId="6E05D21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 xml:space="preserve">Wyszczególnienie </w:t>
            </w:r>
          </w:p>
        </w:tc>
        <w:tc>
          <w:tcPr>
            <w:tcW w:w="1732" w:type="dxa"/>
            <w:tcBorders>
              <w:top w:val="nil"/>
              <w:left w:val="nil"/>
              <w:bottom w:val="single" w:sz="8" w:space="0" w:color="auto"/>
              <w:right w:val="single" w:sz="8" w:space="0" w:color="auto"/>
            </w:tcBorders>
            <w:shd w:val="clear" w:color="auto" w:fill="auto"/>
            <w:vAlign w:val="center"/>
            <w:hideMark/>
          </w:tcPr>
          <w:p w14:paraId="70595455"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2023</w:t>
            </w:r>
          </w:p>
        </w:tc>
        <w:tc>
          <w:tcPr>
            <w:tcW w:w="2130" w:type="dxa"/>
            <w:tcBorders>
              <w:top w:val="nil"/>
              <w:left w:val="nil"/>
              <w:bottom w:val="single" w:sz="8" w:space="0" w:color="auto"/>
              <w:right w:val="single" w:sz="8" w:space="0" w:color="auto"/>
            </w:tcBorders>
            <w:shd w:val="clear" w:color="auto" w:fill="auto"/>
            <w:vAlign w:val="center"/>
            <w:hideMark/>
          </w:tcPr>
          <w:p w14:paraId="2E05369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2024</w:t>
            </w:r>
          </w:p>
        </w:tc>
        <w:tc>
          <w:tcPr>
            <w:tcW w:w="2130" w:type="dxa"/>
            <w:tcBorders>
              <w:top w:val="nil"/>
              <w:left w:val="nil"/>
              <w:bottom w:val="single" w:sz="8" w:space="0" w:color="auto"/>
              <w:right w:val="single" w:sz="8" w:space="0" w:color="auto"/>
            </w:tcBorders>
            <w:shd w:val="clear" w:color="auto" w:fill="auto"/>
            <w:vAlign w:val="center"/>
            <w:hideMark/>
          </w:tcPr>
          <w:p w14:paraId="190C267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2025</w:t>
            </w:r>
          </w:p>
        </w:tc>
      </w:tr>
      <w:tr w:rsidR="00906F48" w:rsidRPr="00906F48" w14:paraId="58446C63" w14:textId="77777777">
        <w:trPr>
          <w:gridAfter w:val="1"/>
          <w:wAfter w:w="36" w:type="dxa"/>
          <w:trHeight w:val="315"/>
        </w:trPr>
        <w:tc>
          <w:tcPr>
            <w:tcW w:w="9664" w:type="dxa"/>
            <w:gridSpan w:val="5"/>
            <w:tcBorders>
              <w:top w:val="single" w:sz="8" w:space="0" w:color="auto"/>
              <w:left w:val="single" w:sz="8" w:space="0" w:color="auto"/>
              <w:bottom w:val="single" w:sz="8" w:space="0" w:color="auto"/>
              <w:right w:val="single" w:sz="8" w:space="0" w:color="000000"/>
            </w:tcBorders>
            <w:shd w:val="clear" w:color="auto" w:fill="9CC2E5"/>
            <w:vAlign w:val="center"/>
            <w:hideMark/>
          </w:tcPr>
          <w:p w14:paraId="17F9768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AKTYWA</w:t>
            </w:r>
          </w:p>
        </w:tc>
      </w:tr>
      <w:tr w:rsidR="00906F48" w:rsidRPr="00906F48" w14:paraId="67734757" w14:textId="77777777">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9CC2E5"/>
            <w:vAlign w:val="center"/>
            <w:hideMark/>
          </w:tcPr>
          <w:p w14:paraId="53FEF8EA"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w:t>
            </w:r>
          </w:p>
        </w:tc>
        <w:tc>
          <w:tcPr>
            <w:tcW w:w="2156" w:type="dxa"/>
            <w:tcBorders>
              <w:top w:val="nil"/>
              <w:left w:val="nil"/>
              <w:bottom w:val="single" w:sz="8" w:space="0" w:color="auto"/>
              <w:right w:val="single" w:sz="8" w:space="0" w:color="auto"/>
            </w:tcBorders>
            <w:shd w:val="clear" w:color="auto" w:fill="9CC2E5"/>
            <w:vAlign w:val="center"/>
            <w:hideMark/>
          </w:tcPr>
          <w:p w14:paraId="77A018DF"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Aktywa trwałe</w:t>
            </w:r>
          </w:p>
        </w:tc>
        <w:tc>
          <w:tcPr>
            <w:tcW w:w="1732" w:type="dxa"/>
            <w:tcBorders>
              <w:top w:val="nil"/>
              <w:left w:val="nil"/>
              <w:bottom w:val="single" w:sz="8" w:space="0" w:color="auto"/>
              <w:right w:val="single" w:sz="8" w:space="0" w:color="auto"/>
            </w:tcBorders>
            <w:shd w:val="clear" w:color="auto" w:fill="9CC2E5"/>
            <w:vAlign w:val="center"/>
            <w:hideMark/>
          </w:tcPr>
          <w:p w14:paraId="53E72A7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16 135 000,00</w:t>
            </w:r>
          </w:p>
        </w:tc>
        <w:tc>
          <w:tcPr>
            <w:tcW w:w="2130" w:type="dxa"/>
            <w:tcBorders>
              <w:top w:val="nil"/>
              <w:left w:val="nil"/>
              <w:bottom w:val="single" w:sz="8" w:space="0" w:color="auto"/>
              <w:right w:val="single" w:sz="8" w:space="0" w:color="auto"/>
            </w:tcBorders>
            <w:shd w:val="clear" w:color="auto" w:fill="9CC2E5"/>
            <w:vAlign w:val="center"/>
            <w:hideMark/>
          </w:tcPr>
          <w:p w14:paraId="66559A1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15 255 000,00</w:t>
            </w:r>
          </w:p>
        </w:tc>
        <w:tc>
          <w:tcPr>
            <w:tcW w:w="2130" w:type="dxa"/>
            <w:tcBorders>
              <w:top w:val="nil"/>
              <w:left w:val="nil"/>
              <w:bottom w:val="single" w:sz="8" w:space="0" w:color="auto"/>
              <w:right w:val="single" w:sz="8" w:space="0" w:color="auto"/>
            </w:tcBorders>
            <w:shd w:val="clear" w:color="auto" w:fill="9CC2E5"/>
            <w:vAlign w:val="center"/>
            <w:hideMark/>
          </w:tcPr>
          <w:p w14:paraId="7D05ED73"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16 380 000,00</w:t>
            </w:r>
          </w:p>
        </w:tc>
      </w:tr>
      <w:tr w:rsidR="00906F48" w:rsidRPr="00906F48" w14:paraId="6D2EEBA0"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4C84CA7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A.I.</w:t>
            </w:r>
          </w:p>
        </w:tc>
        <w:tc>
          <w:tcPr>
            <w:tcW w:w="2156" w:type="dxa"/>
            <w:tcBorders>
              <w:top w:val="nil"/>
              <w:left w:val="nil"/>
              <w:bottom w:val="single" w:sz="8" w:space="0" w:color="auto"/>
              <w:right w:val="single" w:sz="8" w:space="0" w:color="auto"/>
            </w:tcBorders>
            <w:shd w:val="clear" w:color="000000" w:fill="FFFFFF"/>
            <w:vAlign w:val="center"/>
            <w:hideMark/>
          </w:tcPr>
          <w:p w14:paraId="1D582CB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Wartości niematerialne i prawne</w:t>
            </w:r>
          </w:p>
        </w:tc>
        <w:tc>
          <w:tcPr>
            <w:tcW w:w="1732" w:type="dxa"/>
            <w:tcBorders>
              <w:top w:val="nil"/>
              <w:left w:val="nil"/>
              <w:bottom w:val="single" w:sz="8" w:space="0" w:color="auto"/>
              <w:right w:val="single" w:sz="8" w:space="0" w:color="auto"/>
            </w:tcBorders>
            <w:shd w:val="clear" w:color="auto" w:fill="auto"/>
            <w:vAlign w:val="center"/>
            <w:hideMark/>
          </w:tcPr>
          <w:p w14:paraId="5AB8617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30 000,00</w:t>
            </w:r>
          </w:p>
        </w:tc>
        <w:tc>
          <w:tcPr>
            <w:tcW w:w="2130" w:type="dxa"/>
            <w:tcBorders>
              <w:top w:val="nil"/>
              <w:left w:val="nil"/>
              <w:bottom w:val="single" w:sz="8" w:space="0" w:color="auto"/>
              <w:right w:val="single" w:sz="8" w:space="0" w:color="auto"/>
            </w:tcBorders>
            <w:shd w:val="clear" w:color="auto" w:fill="auto"/>
            <w:vAlign w:val="center"/>
            <w:hideMark/>
          </w:tcPr>
          <w:p w14:paraId="6E80DFA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25 000,00</w:t>
            </w:r>
          </w:p>
        </w:tc>
        <w:tc>
          <w:tcPr>
            <w:tcW w:w="2130" w:type="dxa"/>
            <w:tcBorders>
              <w:top w:val="nil"/>
              <w:left w:val="nil"/>
              <w:bottom w:val="single" w:sz="8" w:space="0" w:color="auto"/>
              <w:right w:val="single" w:sz="8" w:space="0" w:color="auto"/>
            </w:tcBorders>
            <w:shd w:val="clear" w:color="auto" w:fill="auto"/>
            <w:vAlign w:val="center"/>
            <w:hideMark/>
          </w:tcPr>
          <w:p w14:paraId="61113BC5"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20 000,00</w:t>
            </w:r>
          </w:p>
        </w:tc>
      </w:tr>
      <w:tr w:rsidR="00906F48" w:rsidRPr="00906F48" w14:paraId="7ABE6CA3"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C124B0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A.I.1.</w:t>
            </w:r>
          </w:p>
        </w:tc>
        <w:tc>
          <w:tcPr>
            <w:tcW w:w="2156" w:type="dxa"/>
            <w:tcBorders>
              <w:top w:val="nil"/>
              <w:left w:val="nil"/>
              <w:bottom w:val="single" w:sz="8" w:space="0" w:color="auto"/>
              <w:right w:val="single" w:sz="8" w:space="0" w:color="auto"/>
            </w:tcBorders>
            <w:shd w:val="clear" w:color="auto" w:fill="auto"/>
            <w:vAlign w:val="center"/>
            <w:hideMark/>
          </w:tcPr>
          <w:p w14:paraId="24D4B5E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Koszty zakończonych prac rozwojowych</w:t>
            </w:r>
          </w:p>
        </w:tc>
        <w:tc>
          <w:tcPr>
            <w:tcW w:w="1732" w:type="dxa"/>
            <w:tcBorders>
              <w:top w:val="nil"/>
              <w:left w:val="nil"/>
              <w:bottom w:val="single" w:sz="8" w:space="0" w:color="auto"/>
              <w:right w:val="single" w:sz="8" w:space="0" w:color="auto"/>
            </w:tcBorders>
            <w:shd w:val="clear" w:color="auto" w:fill="auto"/>
            <w:vAlign w:val="center"/>
            <w:hideMark/>
          </w:tcPr>
          <w:p w14:paraId="0F52B2B7"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29EC382"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FBF58C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40D44BD6"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65AA3F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A.I.2.</w:t>
            </w:r>
          </w:p>
        </w:tc>
        <w:tc>
          <w:tcPr>
            <w:tcW w:w="2156" w:type="dxa"/>
            <w:tcBorders>
              <w:top w:val="nil"/>
              <w:left w:val="nil"/>
              <w:bottom w:val="single" w:sz="8" w:space="0" w:color="auto"/>
              <w:right w:val="single" w:sz="8" w:space="0" w:color="auto"/>
            </w:tcBorders>
            <w:shd w:val="clear" w:color="auto" w:fill="auto"/>
            <w:vAlign w:val="center"/>
            <w:hideMark/>
          </w:tcPr>
          <w:p w14:paraId="0E50692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Wartość firmy</w:t>
            </w:r>
          </w:p>
        </w:tc>
        <w:tc>
          <w:tcPr>
            <w:tcW w:w="1732" w:type="dxa"/>
            <w:tcBorders>
              <w:top w:val="nil"/>
              <w:left w:val="nil"/>
              <w:bottom w:val="single" w:sz="8" w:space="0" w:color="auto"/>
              <w:right w:val="single" w:sz="8" w:space="0" w:color="auto"/>
            </w:tcBorders>
            <w:shd w:val="clear" w:color="auto" w:fill="auto"/>
            <w:vAlign w:val="center"/>
            <w:hideMark/>
          </w:tcPr>
          <w:p w14:paraId="3DDE1EAF"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D4BF78B"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6644C6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100B9F25"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B6E159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A.I.3.</w:t>
            </w:r>
          </w:p>
        </w:tc>
        <w:tc>
          <w:tcPr>
            <w:tcW w:w="2156" w:type="dxa"/>
            <w:tcBorders>
              <w:top w:val="nil"/>
              <w:left w:val="nil"/>
              <w:bottom w:val="single" w:sz="8" w:space="0" w:color="auto"/>
              <w:right w:val="single" w:sz="8" w:space="0" w:color="auto"/>
            </w:tcBorders>
            <w:shd w:val="clear" w:color="auto" w:fill="auto"/>
            <w:vAlign w:val="center"/>
            <w:hideMark/>
          </w:tcPr>
          <w:p w14:paraId="393F8C0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wartości niematerialne i prawne</w:t>
            </w:r>
          </w:p>
        </w:tc>
        <w:tc>
          <w:tcPr>
            <w:tcW w:w="1732" w:type="dxa"/>
            <w:tcBorders>
              <w:top w:val="nil"/>
              <w:left w:val="nil"/>
              <w:bottom w:val="single" w:sz="8" w:space="0" w:color="auto"/>
              <w:right w:val="single" w:sz="8" w:space="0" w:color="auto"/>
            </w:tcBorders>
            <w:shd w:val="clear" w:color="auto" w:fill="auto"/>
            <w:vAlign w:val="center"/>
            <w:hideMark/>
          </w:tcPr>
          <w:p w14:paraId="55EB2B7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30 000,00</w:t>
            </w:r>
          </w:p>
        </w:tc>
        <w:tc>
          <w:tcPr>
            <w:tcW w:w="2130" w:type="dxa"/>
            <w:tcBorders>
              <w:top w:val="nil"/>
              <w:left w:val="nil"/>
              <w:bottom w:val="single" w:sz="8" w:space="0" w:color="auto"/>
              <w:right w:val="single" w:sz="8" w:space="0" w:color="auto"/>
            </w:tcBorders>
            <w:shd w:val="clear" w:color="auto" w:fill="auto"/>
            <w:vAlign w:val="center"/>
            <w:hideMark/>
          </w:tcPr>
          <w:p w14:paraId="39EFBFB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25 000,00</w:t>
            </w:r>
          </w:p>
        </w:tc>
        <w:tc>
          <w:tcPr>
            <w:tcW w:w="2130" w:type="dxa"/>
            <w:tcBorders>
              <w:top w:val="nil"/>
              <w:left w:val="nil"/>
              <w:bottom w:val="single" w:sz="8" w:space="0" w:color="auto"/>
              <w:right w:val="single" w:sz="8" w:space="0" w:color="auto"/>
            </w:tcBorders>
            <w:shd w:val="clear" w:color="auto" w:fill="auto"/>
            <w:vAlign w:val="center"/>
            <w:hideMark/>
          </w:tcPr>
          <w:p w14:paraId="3D9B76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20 000,00</w:t>
            </w:r>
          </w:p>
        </w:tc>
      </w:tr>
      <w:tr w:rsidR="00906F48" w:rsidRPr="00906F48" w14:paraId="667032F0"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8E5158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A.I.4.</w:t>
            </w:r>
          </w:p>
        </w:tc>
        <w:tc>
          <w:tcPr>
            <w:tcW w:w="2156" w:type="dxa"/>
            <w:tcBorders>
              <w:top w:val="nil"/>
              <w:left w:val="nil"/>
              <w:bottom w:val="single" w:sz="8" w:space="0" w:color="auto"/>
              <w:right w:val="single" w:sz="8" w:space="0" w:color="auto"/>
            </w:tcBorders>
            <w:shd w:val="clear" w:color="auto" w:fill="auto"/>
            <w:vAlign w:val="center"/>
            <w:hideMark/>
          </w:tcPr>
          <w:p w14:paraId="777884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Zaliczki na wartości niematerialne i prawne</w:t>
            </w:r>
          </w:p>
        </w:tc>
        <w:tc>
          <w:tcPr>
            <w:tcW w:w="1732" w:type="dxa"/>
            <w:tcBorders>
              <w:top w:val="nil"/>
              <w:left w:val="nil"/>
              <w:bottom w:val="single" w:sz="8" w:space="0" w:color="auto"/>
              <w:right w:val="single" w:sz="8" w:space="0" w:color="auto"/>
            </w:tcBorders>
            <w:shd w:val="clear" w:color="auto" w:fill="auto"/>
            <w:vAlign w:val="center"/>
            <w:hideMark/>
          </w:tcPr>
          <w:p w14:paraId="6572ECBD"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4F0F26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A8FB71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356BCA71"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795F20D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A.II.</w:t>
            </w:r>
          </w:p>
        </w:tc>
        <w:tc>
          <w:tcPr>
            <w:tcW w:w="2156" w:type="dxa"/>
            <w:tcBorders>
              <w:top w:val="nil"/>
              <w:left w:val="nil"/>
              <w:bottom w:val="single" w:sz="8" w:space="0" w:color="auto"/>
              <w:right w:val="single" w:sz="8" w:space="0" w:color="auto"/>
            </w:tcBorders>
            <w:shd w:val="clear" w:color="000000" w:fill="FFFFFF"/>
            <w:vAlign w:val="center"/>
            <w:hideMark/>
          </w:tcPr>
          <w:p w14:paraId="517CABE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Rzeczowe aktywa trwałe</w:t>
            </w:r>
          </w:p>
        </w:tc>
        <w:tc>
          <w:tcPr>
            <w:tcW w:w="1732" w:type="dxa"/>
            <w:tcBorders>
              <w:top w:val="nil"/>
              <w:left w:val="nil"/>
              <w:bottom w:val="single" w:sz="8" w:space="0" w:color="auto"/>
              <w:right w:val="single" w:sz="8" w:space="0" w:color="auto"/>
            </w:tcBorders>
            <w:shd w:val="clear" w:color="auto" w:fill="auto"/>
            <w:vAlign w:val="center"/>
            <w:hideMark/>
          </w:tcPr>
          <w:p w14:paraId="36DBB33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16 105 000,00</w:t>
            </w:r>
          </w:p>
        </w:tc>
        <w:tc>
          <w:tcPr>
            <w:tcW w:w="2130" w:type="dxa"/>
            <w:tcBorders>
              <w:top w:val="nil"/>
              <w:left w:val="nil"/>
              <w:bottom w:val="single" w:sz="8" w:space="0" w:color="auto"/>
              <w:right w:val="single" w:sz="8" w:space="0" w:color="auto"/>
            </w:tcBorders>
            <w:shd w:val="clear" w:color="auto" w:fill="auto"/>
            <w:vAlign w:val="center"/>
            <w:hideMark/>
          </w:tcPr>
          <w:p w14:paraId="2577B10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15 230 000,00</w:t>
            </w:r>
          </w:p>
        </w:tc>
        <w:tc>
          <w:tcPr>
            <w:tcW w:w="2130" w:type="dxa"/>
            <w:tcBorders>
              <w:top w:val="nil"/>
              <w:left w:val="nil"/>
              <w:bottom w:val="single" w:sz="8" w:space="0" w:color="auto"/>
              <w:right w:val="single" w:sz="8" w:space="0" w:color="auto"/>
            </w:tcBorders>
            <w:shd w:val="clear" w:color="auto" w:fill="auto"/>
            <w:vAlign w:val="center"/>
            <w:hideMark/>
          </w:tcPr>
          <w:p w14:paraId="7BCE53A5"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16 360 000,00</w:t>
            </w:r>
          </w:p>
        </w:tc>
      </w:tr>
      <w:tr w:rsidR="00906F48" w:rsidRPr="00906F48" w14:paraId="0F64A2A5"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34221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w:t>
            </w:r>
          </w:p>
        </w:tc>
        <w:tc>
          <w:tcPr>
            <w:tcW w:w="2156" w:type="dxa"/>
            <w:tcBorders>
              <w:top w:val="nil"/>
              <w:left w:val="nil"/>
              <w:bottom w:val="single" w:sz="8" w:space="0" w:color="auto"/>
              <w:right w:val="single" w:sz="8" w:space="0" w:color="auto"/>
            </w:tcBorders>
            <w:shd w:val="clear" w:color="auto" w:fill="auto"/>
            <w:vAlign w:val="center"/>
            <w:hideMark/>
          </w:tcPr>
          <w:p w14:paraId="1B044F0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Środki trwałe</w:t>
            </w:r>
          </w:p>
        </w:tc>
        <w:tc>
          <w:tcPr>
            <w:tcW w:w="1732" w:type="dxa"/>
            <w:tcBorders>
              <w:top w:val="nil"/>
              <w:left w:val="nil"/>
              <w:bottom w:val="single" w:sz="8" w:space="0" w:color="auto"/>
              <w:right w:val="single" w:sz="8" w:space="0" w:color="auto"/>
            </w:tcBorders>
            <w:shd w:val="clear" w:color="auto" w:fill="auto"/>
            <w:vAlign w:val="center"/>
            <w:hideMark/>
          </w:tcPr>
          <w:p w14:paraId="0F599BE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16 105 000,00</w:t>
            </w:r>
          </w:p>
        </w:tc>
        <w:tc>
          <w:tcPr>
            <w:tcW w:w="2130" w:type="dxa"/>
            <w:tcBorders>
              <w:top w:val="nil"/>
              <w:left w:val="nil"/>
              <w:bottom w:val="single" w:sz="8" w:space="0" w:color="auto"/>
              <w:right w:val="single" w:sz="8" w:space="0" w:color="auto"/>
            </w:tcBorders>
            <w:shd w:val="clear" w:color="auto" w:fill="auto"/>
            <w:vAlign w:val="center"/>
            <w:hideMark/>
          </w:tcPr>
          <w:p w14:paraId="7BBE2F1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15 230 000,00</w:t>
            </w:r>
          </w:p>
        </w:tc>
        <w:tc>
          <w:tcPr>
            <w:tcW w:w="2130" w:type="dxa"/>
            <w:tcBorders>
              <w:top w:val="nil"/>
              <w:left w:val="nil"/>
              <w:bottom w:val="single" w:sz="8" w:space="0" w:color="auto"/>
              <w:right w:val="single" w:sz="8" w:space="0" w:color="auto"/>
            </w:tcBorders>
            <w:shd w:val="clear" w:color="auto" w:fill="auto"/>
            <w:vAlign w:val="center"/>
            <w:hideMark/>
          </w:tcPr>
          <w:p w14:paraId="4A21D7E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16 360 000,00</w:t>
            </w:r>
          </w:p>
        </w:tc>
      </w:tr>
      <w:tr w:rsidR="00906F48" w:rsidRPr="00906F48" w14:paraId="27DEFDCF" w14:textId="77777777" w:rsidTr="00906F48">
        <w:trPr>
          <w:gridAfter w:val="1"/>
          <w:wAfter w:w="36" w:type="dxa"/>
          <w:trHeight w:val="129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2C052B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A.II.1.a</w:t>
            </w:r>
          </w:p>
        </w:tc>
        <w:tc>
          <w:tcPr>
            <w:tcW w:w="2156" w:type="dxa"/>
            <w:tcBorders>
              <w:top w:val="nil"/>
              <w:left w:val="nil"/>
              <w:bottom w:val="single" w:sz="8" w:space="0" w:color="auto"/>
              <w:right w:val="single" w:sz="8" w:space="0" w:color="auto"/>
            </w:tcBorders>
            <w:shd w:val="clear" w:color="auto" w:fill="auto"/>
            <w:vAlign w:val="center"/>
            <w:hideMark/>
          </w:tcPr>
          <w:p w14:paraId="4732B20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grunty (w tym prawo użytkowania wieczystego gruntu)</w:t>
            </w:r>
          </w:p>
        </w:tc>
        <w:tc>
          <w:tcPr>
            <w:tcW w:w="1732" w:type="dxa"/>
            <w:tcBorders>
              <w:top w:val="nil"/>
              <w:left w:val="nil"/>
              <w:bottom w:val="single" w:sz="8" w:space="0" w:color="auto"/>
              <w:right w:val="single" w:sz="8" w:space="0" w:color="auto"/>
            </w:tcBorders>
            <w:shd w:val="clear" w:color="auto" w:fill="auto"/>
            <w:vAlign w:val="center"/>
            <w:hideMark/>
          </w:tcPr>
          <w:p w14:paraId="7EE4145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355 000,00</w:t>
            </w:r>
          </w:p>
        </w:tc>
        <w:tc>
          <w:tcPr>
            <w:tcW w:w="2130" w:type="dxa"/>
            <w:tcBorders>
              <w:top w:val="nil"/>
              <w:left w:val="nil"/>
              <w:bottom w:val="single" w:sz="8" w:space="0" w:color="auto"/>
              <w:right w:val="single" w:sz="8" w:space="0" w:color="auto"/>
            </w:tcBorders>
            <w:shd w:val="clear" w:color="auto" w:fill="auto"/>
            <w:vAlign w:val="center"/>
            <w:hideMark/>
          </w:tcPr>
          <w:p w14:paraId="0EEE875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270 000,00</w:t>
            </w:r>
          </w:p>
        </w:tc>
        <w:tc>
          <w:tcPr>
            <w:tcW w:w="2130" w:type="dxa"/>
            <w:tcBorders>
              <w:top w:val="nil"/>
              <w:left w:val="nil"/>
              <w:bottom w:val="single" w:sz="8" w:space="0" w:color="auto"/>
              <w:right w:val="single" w:sz="8" w:space="0" w:color="auto"/>
            </w:tcBorders>
            <w:shd w:val="clear" w:color="auto" w:fill="auto"/>
            <w:vAlign w:val="center"/>
            <w:hideMark/>
          </w:tcPr>
          <w:p w14:paraId="6FC9B2D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260 000,00</w:t>
            </w:r>
          </w:p>
        </w:tc>
      </w:tr>
      <w:tr w:rsidR="00906F48" w:rsidRPr="00906F48" w14:paraId="330E5076" w14:textId="77777777" w:rsidTr="00906F48">
        <w:trPr>
          <w:gridAfter w:val="1"/>
          <w:wAfter w:w="36" w:type="dxa"/>
          <w:trHeight w:val="180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0BBB30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A.II.1.b</w:t>
            </w:r>
          </w:p>
        </w:tc>
        <w:tc>
          <w:tcPr>
            <w:tcW w:w="2156" w:type="dxa"/>
            <w:tcBorders>
              <w:top w:val="nil"/>
              <w:left w:val="nil"/>
              <w:bottom w:val="single" w:sz="8" w:space="0" w:color="auto"/>
              <w:right w:val="single" w:sz="8" w:space="0" w:color="auto"/>
            </w:tcBorders>
            <w:shd w:val="clear" w:color="auto" w:fill="auto"/>
            <w:vAlign w:val="center"/>
            <w:hideMark/>
          </w:tcPr>
          <w:p w14:paraId="2BD11D8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budynki, lokale, prawa do lokali  i obiekty inżynierii lądowej i wodnej</w:t>
            </w:r>
          </w:p>
        </w:tc>
        <w:tc>
          <w:tcPr>
            <w:tcW w:w="1732" w:type="dxa"/>
            <w:tcBorders>
              <w:top w:val="nil"/>
              <w:left w:val="nil"/>
              <w:bottom w:val="single" w:sz="8" w:space="0" w:color="auto"/>
              <w:right w:val="single" w:sz="8" w:space="0" w:color="auto"/>
            </w:tcBorders>
            <w:shd w:val="clear" w:color="auto" w:fill="auto"/>
            <w:vAlign w:val="center"/>
            <w:hideMark/>
          </w:tcPr>
          <w:p w14:paraId="10662D5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12 500 000,00</w:t>
            </w:r>
          </w:p>
        </w:tc>
        <w:tc>
          <w:tcPr>
            <w:tcW w:w="2130" w:type="dxa"/>
            <w:tcBorders>
              <w:top w:val="nil"/>
              <w:left w:val="nil"/>
              <w:bottom w:val="single" w:sz="8" w:space="0" w:color="auto"/>
              <w:right w:val="single" w:sz="8" w:space="0" w:color="auto"/>
            </w:tcBorders>
            <w:shd w:val="clear" w:color="auto" w:fill="auto"/>
            <w:vAlign w:val="center"/>
            <w:hideMark/>
          </w:tcPr>
          <w:p w14:paraId="3AE63B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12 300 000,00</w:t>
            </w:r>
          </w:p>
        </w:tc>
        <w:tc>
          <w:tcPr>
            <w:tcW w:w="2130" w:type="dxa"/>
            <w:tcBorders>
              <w:top w:val="nil"/>
              <w:left w:val="nil"/>
              <w:bottom w:val="single" w:sz="8" w:space="0" w:color="auto"/>
              <w:right w:val="single" w:sz="8" w:space="0" w:color="auto"/>
            </w:tcBorders>
            <w:shd w:val="clear" w:color="auto" w:fill="auto"/>
            <w:vAlign w:val="center"/>
            <w:hideMark/>
          </w:tcPr>
          <w:p w14:paraId="2D73158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12 500 000,00</w:t>
            </w:r>
          </w:p>
        </w:tc>
      </w:tr>
      <w:tr w:rsidR="00906F48" w:rsidRPr="00906F48" w14:paraId="3E93E9F6"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73185F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A.II.1.c</w:t>
            </w:r>
          </w:p>
        </w:tc>
        <w:tc>
          <w:tcPr>
            <w:tcW w:w="2156" w:type="dxa"/>
            <w:tcBorders>
              <w:top w:val="nil"/>
              <w:left w:val="nil"/>
              <w:bottom w:val="single" w:sz="8" w:space="0" w:color="auto"/>
              <w:right w:val="single" w:sz="8" w:space="0" w:color="auto"/>
            </w:tcBorders>
            <w:shd w:val="clear" w:color="auto" w:fill="auto"/>
            <w:vAlign w:val="center"/>
            <w:hideMark/>
          </w:tcPr>
          <w:p w14:paraId="51ED89C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urządzenia techniczne i maszyny</w:t>
            </w:r>
          </w:p>
        </w:tc>
        <w:tc>
          <w:tcPr>
            <w:tcW w:w="1732" w:type="dxa"/>
            <w:tcBorders>
              <w:top w:val="nil"/>
              <w:left w:val="nil"/>
              <w:bottom w:val="single" w:sz="8" w:space="0" w:color="auto"/>
              <w:right w:val="single" w:sz="8" w:space="0" w:color="auto"/>
            </w:tcBorders>
            <w:shd w:val="clear" w:color="auto" w:fill="auto"/>
            <w:vAlign w:val="center"/>
            <w:hideMark/>
          </w:tcPr>
          <w:p w14:paraId="20CAAB5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600 000,00</w:t>
            </w:r>
          </w:p>
        </w:tc>
        <w:tc>
          <w:tcPr>
            <w:tcW w:w="2130" w:type="dxa"/>
            <w:tcBorders>
              <w:top w:val="nil"/>
              <w:left w:val="nil"/>
              <w:bottom w:val="single" w:sz="8" w:space="0" w:color="auto"/>
              <w:right w:val="single" w:sz="8" w:space="0" w:color="auto"/>
            </w:tcBorders>
            <w:shd w:val="clear" w:color="auto" w:fill="auto"/>
            <w:vAlign w:val="center"/>
            <w:hideMark/>
          </w:tcPr>
          <w:p w14:paraId="1A1B4C7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550 000,00</w:t>
            </w:r>
          </w:p>
        </w:tc>
        <w:tc>
          <w:tcPr>
            <w:tcW w:w="2130" w:type="dxa"/>
            <w:tcBorders>
              <w:top w:val="nil"/>
              <w:left w:val="nil"/>
              <w:bottom w:val="single" w:sz="8" w:space="0" w:color="auto"/>
              <w:right w:val="single" w:sz="8" w:space="0" w:color="auto"/>
            </w:tcBorders>
            <w:shd w:val="clear" w:color="auto" w:fill="auto"/>
            <w:vAlign w:val="center"/>
            <w:hideMark/>
          </w:tcPr>
          <w:p w14:paraId="24507B3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500 000,00</w:t>
            </w:r>
          </w:p>
        </w:tc>
      </w:tr>
      <w:tr w:rsidR="00906F48" w:rsidRPr="00906F48" w14:paraId="79EA1B31"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B835B4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A.II.1.d</w:t>
            </w:r>
          </w:p>
        </w:tc>
        <w:tc>
          <w:tcPr>
            <w:tcW w:w="2156" w:type="dxa"/>
            <w:tcBorders>
              <w:top w:val="nil"/>
              <w:left w:val="nil"/>
              <w:bottom w:val="single" w:sz="8" w:space="0" w:color="auto"/>
              <w:right w:val="single" w:sz="8" w:space="0" w:color="auto"/>
            </w:tcBorders>
            <w:shd w:val="clear" w:color="auto" w:fill="auto"/>
            <w:vAlign w:val="center"/>
            <w:hideMark/>
          </w:tcPr>
          <w:p w14:paraId="0952B07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środki transportu</w:t>
            </w:r>
          </w:p>
        </w:tc>
        <w:tc>
          <w:tcPr>
            <w:tcW w:w="1732" w:type="dxa"/>
            <w:tcBorders>
              <w:top w:val="nil"/>
              <w:left w:val="nil"/>
              <w:bottom w:val="single" w:sz="8" w:space="0" w:color="auto"/>
              <w:right w:val="single" w:sz="8" w:space="0" w:color="auto"/>
            </w:tcBorders>
            <w:shd w:val="clear" w:color="auto" w:fill="auto"/>
            <w:vAlign w:val="center"/>
            <w:hideMark/>
          </w:tcPr>
          <w:p w14:paraId="44491CC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150 000,00</w:t>
            </w:r>
          </w:p>
        </w:tc>
        <w:tc>
          <w:tcPr>
            <w:tcW w:w="2130" w:type="dxa"/>
            <w:tcBorders>
              <w:top w:val="nil"/>
              <w:left w:val="nil"/>
              <w:bottom w:val="single" w:sz="8" w:space="0" w:color="auto"/>
              <w:right w:val="single" w:sz="8" w:space="0" w:color="auto"/>
            </w:tcBorders>
            <w:shd w:val="clear" w:color="auto" w:fill="auto"/>
            <w:vAlign w:val="center"/>
            <w:hideMark/>
          </w:tcPr>
          <w:p w14:paraId="43E2AE3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110 000,00</w:t>
            </w:r>
          </w:p>
        </w:tc>
        <w:tc>
          <w:tcPr>
            <w:tcW w:w="2130" w:type="dxa"/>
            <w:tcBorders>
              <w:top w:val="nil"/>
              <w:left w:val="nil"/>
              <w:bottom w:val="single" w:sz="8" w:space="0" w:color="auto"/>
              <w:right w:val="single" w:sz="8" w:space="0" w:color="auto"/>
            </w:tcBorders>
            <w:shd w:val="clear" w:color="auto" w:fill="auto"/>
            <w:vAlign w:val="center"/>
            <w:hideMark/>
          </w:tcPr>
          <w:p w14:paraId="6A41D08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650 000,00</w:t>
            </w:r>
          </w:p>
        </w:tc>
      </w:tr>
      <w:tr w:rsidR="00906F48" w:rsidRPr="00906F48" w14:paraId="5AA3CD92"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522179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A.II.1.e</w:t>
            </w:r>
          </w:p>
        </w:tc>
        <w:tc>
          <w:tcPr>
            <w:tcW w:w="2156" w:type="dxa"/>
            <w:tcBorders>
              <w:top w:val="nil"/>
              <w:left w:val="nil"/>
              <w:bottom w:val="single" w:sz="8" w:space="0" w:color="auto"/>
              <w:right w:val="single" w:sz="8" w:space="0" w:color="auto"/>
            </w:tcBorders>
            <w:shd w:val="clear" w:color="auto" w:fill="auto"/>
            <w:vAlign w:val="center"/>
            <w:hideMark/>
          </w:tcPr>
          <w:p w14:paraId="27EEFDC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środki trwałe</w:t>
            </w:r>
          </w:p>
        </w:tc>
        <w:tc>
          <w:tcPr>
            <w:tcW w:w="1732" w:type="dxa"/>
            <w:tcBorders>
              <w:top w:val="nil"/>
              <w:left w:val="nil"/>
              <w:bottom w:val="single" w:sz="8" w:space="0" w:color="auto"/>
              <w:right w:val="single" w:sz="8" w:space="0" w:color="auto"/>
            </w:tcBorders>
            <w:shd w:val="clear" w:color="auto" w:fill="auto"/>
            <w:vAlign w:val="center"/>
            <w:hideMark/>
          </w:tcPr>
          <w:p w14:paraId="1689940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2 500 000,00</w:t>
            </w:r>
          </w:p>
        </w:tc>
        <w:tc>
          <w:tcPr>
            <w:tcW w:w="2130" w:type="dxa"/>
            <w:tcBorders>
              <w:top w:val="nil"/>
              <w:left w:val="nil"/>
              <w:bottom w:val="single" w:sz="8" w:space="0" w:color="auto"/>
              <w:right w:val="single" w:sz="8" w:space="0" w:color="auto"/>
            </w:tcBorders>
            <w:shd w:val="clear" w:color="auto" w:fill="auto"/>
            <w:vAlign w:val="center"/>
            <w:hideMark/>
          </w:tcPr>
          <w:p w14:paraId="3701A6B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2 000 000,00</w:t>
            </w:r>
          </w:p>
        </w:tc>
        <w:tc>
          <w:tcPr>
            <w:tcW w:w="2130" w:type="dxa"/>
            <w:tcBorders>
              <w:top w:val="nil"/>
              <w:left w:val="nil"/>
              <w:bottom w:val="single" w:sz="8" w:space="0" w:color="auto"/>
              <w:right w:val="single" w:sz="8" w:space="0" w:color="auto"/>
            </w:tcBorders>
            <w:shd w:val="clear" w:color="auto" w:fill="auto"/>
            <w:vAlign w:val="center"/>
            <w:hideMark/>
          </w:tcPr>
          <w:p w14:paraId="55668FB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2 450 000,00</w:t>
            </w:r>
          </w:p>
        </w:tc>
      </w:tr>
      <w:tr w:rsidR="00906F48" w:rsidRPr="00906F48" w14:paraId="357CC317"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9124A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A.II.2.</w:t>
            </w:r>
          </w:p>
        </w:tc>
        <w:tc>
          <w:tcPr>
            <w:tcW w:w="2156" w:type="dxa"/>
            <w:tcBorders>
              <w:top w:val="nil"/>
              <w:left w:val="nil"/>
              <w:bottom w:val="single" w:sz="8" w:space="0" w:color="auto"/>
              <w:right w:val="single" w:sz="8" w:space="0" w:color="auto"/>
            </w:tcBorders>
            <w:shd w:val="clear" w:color="auto" w:fill="auto"/>
            <w:vAlign w:val="center"/>
            <w:hideMark/>
          </w:tcPr>
          <w:p w14:paraId="2DBE497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Środki trwałe w budowie</w:t>
            </w:r>
          </w:p>
        </w:tc>
        <w:tc>
          <w:tcPr>
            <w:tcW w:w="1732" w:type="dxa"/>
            <w:tcBorders>
              <w:top w:val="nil"/>
              <w:left w:val="nil"/>
              <w:bottom w:val="single" w:sz="8" w:space="0" w:color="auto"/>
              <w:right w:val="single" w:sz="8" w:space="0" w:color="auto"/>
            </w:tcBorders>
            <w:shd w:val="clear" w:color="auto" w:fill="auto"/>
            <w:vAlign w:val="center"/>
            <w:hideMark/>
          </w:tcPr>
          <w:p w14:paraId="7815E69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B3D54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ACD6A8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B7EEC3D"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E55218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A.II.3.</w:t>
            </w:r>
          </w:p>
        </w:tc>
        <w:tc>
          <w:tcPr>
            <w:tcW w:w="2156" w:type="dxa"/>
            <w:tcBorders>
              <w:top w:val="nil"/>
              <w:left w:val="nil"/>
              <w:bottom w:val="single" w:sz="8" w:space="0" w:color="auto"/>
              <w:right w:val="single" w:sz="8" w:space="0" w:color="auto"/>
            </w:tcBorders>
            <w:shd w:val="clear" w:color="auto" w:fill="auto"/>
            <w:vAlign w:val="center"/>
            <w:hideMark/>
          </w:tcPr>
          <w:p w14:paraId="72F4C9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Zaliczki na środki trwałe w budowie</w:t>
            </w:r>
          </w:p>
        </w:tc>
        <w:tc>
          <w:tcPr>
            <w:tcW w:w="1732" w:type="dxa"/>
            <w:tcBorders>
              <w:top w:val="nil"/>
              <w:left w:val="nil"/>
              <w:bottom w:val="single" w:sz="8" w:space="0" w:color="auto"/>
              <w:right w:val="single" w:sz="8" w:space="0" w:color="auto"/>
            </w:tcBorders>
            <w:shd w:val="clear" w:color="auto" w:fill="auto"/>
            <w:vAlign w:val="center"/>
            <w:hideMark/>
          </w:tcPr>
          <w:p w14:paraId="33E9FF8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2FD1731"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26F8646"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6FD5BC2D"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4F39E4EF"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A.III.</w:t>
            </w:r>
          </w:p>
        </w:tc>
        <w:tc>
          <w:tcPr>
            <w:tcW w:w="2156" w:type="dxa"/>
            <w:tcBorders>
              <w:top w:val="nil"/>
              <w:left w:val="nil"/>
              <w:bottom w:val="single" w:sz="8" w:space="0" w:color="auto"/>
              <w:right w:val="single" w:sz="8" w:space="0" w:color="auto"/>
            </w:tcBorders>
            <w:shd w:val="clear" w:color="000000" w:fill="FFFFFF"/>
            <w:vAlign w:val="center"/>
            <w:hideMark/>
          </w:tcPr>
          <w:p w14:paraId="7B107991"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Należności długoterminowe</w:t>
            </w:r>
          </w:p>
        </w:tc>
        <w:tc>
          <w:tcPr>
            <w:tcW w:w="1732" w:type="dxa"/>
            <w:tcBorders>
              <w:top w:val="nil"/>
              <w:left w:val="nil"/>
              <w:bottom w:val="single" w:sz="8" w:space="0" w:color="auto"/>
              <w:right w:val="single" w:sz="8" w:space="0" w:color="auto"/>
            </w:tcBorders>
            <w:shd w:val="clear" w:color="auto" w:fill="auto"/>
            <w:vAlign w:val="center"/>
            <w:hideMark/>
          </w:tcPr>
          <w:p w14:paraId="42149A3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B6D61F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E52F6E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r>
      <w:tr w:rsidR="00906F48" w:rsidRPr="00906F48" w14:paraId="03F513F3"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75A0EB2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A.III.1.</w:t>
            </w:r>
          </w:p>
        </w:tc>
        <w:tc>
          <w:tcPr>
            <w:tcW w:w="2156" w:type="dxa"/>
            <w:tcBorders>
              <w:top w:val="nil"/>
              <w:left w:val="nil"/>
              <w:bottom w:val="single" w:sz="8" w:space="0" w:color="auto"/>
              <w:right w:val="single" w:sz="8" w:space="0" w:color="auto"/>
            </w:tcBorders>
            <w:shd w:val="clear" w:color="auto" w:fill="auto"/>
            <w:vAlign w:val="center"/>
            <w:hideMark/>
          </w:tcPr>
          <w:p w14:paraId="396A2B1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Od  jednostek powiązanych</w:t>
            </w:r>
          </w:p>
        </w:tc>
        <w:tc>
          <w:tcPr>
            <w:tcW w:w="1732" w:type="dxa"/>
            <w:tcBorders>
              <w:top w:val="nil"/>
              <w:left w:val="nil"/>
              <w:bottom w:val="single" w:sz="8" w:space="0" w:color="auto"/>
              <w:right w:val="single" w:sz="8" w:space="0" w:color="auto"/>
            </w:tcBorders>
            <w:shd w:val="clear" w:color="auto" w:fill="auto"/>
            <w:vAlign w:val="center"/>
            <w:hideMark/>
          </w:tcPr>
          <w:p w14:paraId="39039E7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AE333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93291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100FF92" w14:textId="77777777" w:rsidTr="00906F48">
        <w:trPr>
          <w:gridAfter w:val="1"/>
          <w:wAfter w:w="36" w:type="dxa"/>
          <w:trHeight w:val="1800"/>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6C0AF6A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A.III.2.</w:t>
            </w:r>
          </w:p>
        </w:tc>
        <w:tc>
          <w:tcPr>
            <w:tcW w:w="2156" w:type="dxa"/>
            <w:tcBorders>
              <w:top w:val="nil"/>
              <w:left w:val="nil"/>
              <w:bottom w:val="single" w:sz="8" w:space="0" w:color="auto"/>
              <w:right w:val="single" w:sz="8" w:space="0" w:color="auto"/>
            </w:tcBorders>
            <w:shd w:val="clear" w:color="auto" w:fill="auto"/>
            <w:vAlign w:val="center"/>
            <w:hideMark/>
          </w:tcPr>
          <w:p w14:paraId="7BA5CA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Od pozostałych jednostek, w których jednostka posiada zaangażowanie w kapitale</w:t>
            </w:r>
          </w:p>
        </w:tc>
        <w:tc>
          <w:tcPr>
            <w:tcW w:w="1732" w:type="dxa"/>
            <w:tcBorders>
              <w:top w:val="nil"/>
              <w:left w:val="nil"/>
              <w:bottom w:val="single" w:sz="8" w:space="0" w:color="auto"/>
              <w:right w:val="single" w:sz="8" w:space="0" w:color="auto"/>
            </w:tcBorders>
            <w:shd w:val="clear" w:color="auto" w:fill="auto"/>
            <w:vAlign w:val="center"/>
            <w:hideMark/>
          </w:tcPr>
          <w:p w14:paraId="2247021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928F51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34E618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22CF6F9B"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1E59310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A.III.3.</w:t>
            </w:r>
          </w:p>
        </w:tc>
        <w:tc>
          <w:tcPr>
            <w:tcW w:w="2156" w:type="dxa"/>
            <w:tcBorders>
              <w:top w:val="nil"/>
              <w:left w:val="nil"/>
              <w:bottom w:val="single" w:sz="8" w:space="0" w:color="auto"/>
              <w:right w:val="single" w:sz="8" w:space="0" w:color="auto"/>
            </w:tcBorders>
            <w:shd w:val="clear" w:color="auto" w:fill="auto"/>
            <w:vAlign w:val="center"/>
            <w:hideMark/>
          </w:tcPr>
          <w:p w14:paraId="5EB97F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Od pozostałych jednostek</w:t>
            </w:r>
          </w:p>
        </w:tc>
        <w:tc>
          <w:tcPr>
            <w:tcW w:w="1732" w:type="dxa"/>
            <w:tcBorders>
              <w:top w:val="nil"/>
              <w:left w:val="nil"/>
              <w:bottom w:val="single" w:sz="8" w:space="0" w:color="auto"/>
              <w:right w:val="single" w:sz="8" w:space="0" w:color="auto"/>
            </w:tcBorders>
            <w:shd w:val="clear" w:color="auto" w:fill="auto"/>
            <w:vAlign w:val="center"/>
            <w:hideMark/>
          </w:tcPr>
          <w:p w14:paraId="0D6BA68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5E06B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D8E9A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FB64AEE"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0AF9419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A.IV.</w:t>
            </w:r>
          </w:p>
        </w:tc>
        <w:tc>
          <w:tcPr>
            <w:tcW w:w="2156" w:type="dxa"/>
            <w:tcBorders>
              <w:top w:val="nil"/>
              <w:left w:val="nil"/>
              <w:bottom w:val="single" w:sz="8" w:space="0" w:color="auto"/>
              <w:right w:val="single" w:sz="8" w:space="0" w:color="auto"/>
            </w:tcBorders>
            <w:shd w:val="clear" w:color="000000" w:fill="FFFFFF"/>
            <w:vAlign w:val="center"/>
            <w:hideMark/>
          </w:tcPr>
          <w:p w14:paraId="1756CF46"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Inwestycje długoterminowe</w:t>
            </w:r>
          </w:p>
        </w:tc>
        <w:tc>
          <w:tcPr>
            <w:tcW w:w="1732" w:type="dxa"/>
            <w:tcBorders>
              <w:top w:val="nil"/>
              <w:left w:val="nil"/>
              <w:bottom w:val="single" w:sz="8" w:space="0" w:color="auto"/>
              <w:right w:val="single" w:sz="8" w:space="0" w:color="auto"/>
            </w:tcBorders>
            <w:shd w:val="clear" w:color="auto" w:fill="auto"/>
            <w:vAlign w:val="center"/>
            <w:hideMark/>
          </w:tcPr>
          <w:p w14:paraId="785A5C7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D9AF9C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D6C52E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r>
      <w:tr w:rsidR="00906F48" w:rsidRPr="00906F48" w14:paraId="6AB04664"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F65579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A.IV.1.</w:t>
            </w:r>
          </w:p>
        </w:tc>
        <w:tc>
          <w:tcPr>
            <w:tcW w:w="2156" w:type="dxa"/>
            <w:tcBorders>
              <w:top w:val="nil"/>
              <w:left w:val="nil"/>
              <w:bottom w:val="single" w:sz="8" w:space="0" w:color="auto"/>
              <w:right w:val="single" w:sz="8" w:space="0" w:color="auto"/>
            </w:tcBorders>
            <w:shd w:val="clear" w:color="auto" w:fill="auto"/>
            <w:vAlign w:val="center"/>
            <w:hideMark/>
          </w:tcPr>
          <w:p w14:paraId="7DDF02F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Nieruchomości</w:t>
            </w:r>
          </w:p>
        </w:tc>
        <w:tc>
          <w:tcPr>
            <w:tcW w:w="1732" w:type="dxa"/>
            <w:tcBorders>
              <w:top w:val="nil"/>
              <w:left w:val="nil"/>
              <w:bottom w:val="single" w:sz="8" w:space="0" w:color="auto"/>
              <w:right w:val="single" w:sz="8" w:space="0" w:color="auto"/>
            </w:tcBorders>
            <w:shd w:val="clear" w:color="auto" w:fill="auto"/>
            <w:vAlign w:val="center"/>
            <w:hideMark/>
          </w:tcPr>
          <w:p w14:paraId="6F82A5C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21DFB7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343CA2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54B104C"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789489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A.IV.2.</w:t>
            </w:r>
          </w:p>
        </w:tc>
        <w:tc>
          <w:tcPr>
            <w:tcW w:w="2156" w:type="dxa"/>
            <w:tcBorders>
              <w:top w:val="nil"/>
              <w:left w:val="nil"/>
              <w:bottom w:val="single" w:sz="8" w:space="0" w:color="auto"/>
              <w:right w:val="single" w:sz="8" w:space="0" w:color="auto"/>
            </w:tcBorders>
            <w:shd w:val="clear" w:color="auto" w:fill="auto"/>
            <w:vAlign w:val="center"/>
            <w:hideMark/>
          </w:tcPr>
          <w:p w14:paraId="38B28FA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Wartości niematerialne i prawne</w:t>
            </w:r>
          </w:p>
        </w:tc>
        <w:tc>
          <w:tcPr>
            <w:tcW w:w="1732" w:type="dxa"/>
            <w:tcBorders>
              <w:top w:val="nil"/>
              <w:left w:val="nil"/>
              <w:bottom w:val="single" w:sz="8" w:space="0" w:color="auto"/>
              <w:right w:val="single" w:sz="8" w:space="0" w:color="auto"/>
            </w:tcBorders>
            <w:shd w:val="clear" w:color="auto" w:fill="auto"/>
            <w:vAlign w:val="center"/>
            <w:hideMark/>
          </w:tcPr>
          <w:p w14:paraId="353E393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F24A46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BC3E59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2461137E"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BBCE98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w:t>
            </w:r>
          </w:p>
        </w:tc>
        <w:tc>
          <w:tcPr>
            <w:tcW w:w="2156" w:type="dxa"/>
            <w:tcBorders>
              <w:top w:val="nil"/>
              <w:left w:val="nil"/>
              <w:bottom w:val="single" w:sz="8" w:space="0" w:color="auto"/>
              <w:right w:val="single" w:sz="8" w:space="0" w:color="auto"/>
            </w:tcBorders>
            <w:shd w:val="clear" w:color="auto" w:fill="auto"/>
            <w:vAlign w:val="center"/>
            <w:hideMark/>
          </w:tcPr>
          <w:p w14:paraId="1958E4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Długoterminowe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023EE19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162259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D48FEB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87DB5CE"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B358E3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A.IV.3.a</w:t>
            </w:r>
          </w:p>
        </w:tc>
        <w:tc>
          <w:tcPr>
            <w:tcW w:w="2156" w:type="dxa"/>
            <w:tcBorders>
              <w:top w:val="nil"/>
              <w:left w:val="nil"/>
              <w:bottom w:val="single" w:sz="8" w:space="0" w:color="auto"/>
              <w:right w:val="single" w:sz="8" w:space="0" w:color="auto"/>
            </w:tcBorders>
            <w:shd w:val="clear" w:color="auto" w:fill="auto"/>
            <w:vAlign w:val="center"/>
            <w:hideMark/>
          </w:tcPr>
          <w:p w14:paraId="109E55E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jednostkach powiązanych</w:t>
            </w:r>
          </w:p>
        </w:tc>
        <w:tc>
          <w:tcPr>
            <w:tcW w:w="1732" w:type="dxa"/>
            <w:tcBorders>
              <w:top w:val="nil"/>
              <w:left w:val="nil"/>
              <w:bottom w:val="single" w:sz="8" w:space="0" w:color="auto"/>
              <w:right w:val="single" w:sz="8" w:space="0" w:color="auto"/>
            </w:tcBorders>
            <w:shd w:val="clear" w:color="auto" w:fill="auto"/>
            <w:vAlign w:val="center"/>
            <w:hideMark/>
          </w:tcPr>
          <w:p w14:paraId="2551A0E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795D98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AC6678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1292EA4"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9B44F9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A.IV.3.a.-</w:t>
            </w:r>
          </w:p>
        </w:tc>
        <w:tc>
          <w:tcPr>
            <w:tcW w:w="2156" w:type="dxa"/>
            <w:tcBorders>
              <w:top w:val="nil"/>
              <w:left w:val="nil"/>
              <w:bottom w:val="single" w:sz="8" w:space="0" w:color="auto"/>
              <w:right w:val="single" w:sz="8" w:space="0" w:color="auto"/>
            </w:tcBorders>
            <w:shd w:val="clear" w:color="auto" w:fill="auto"/>
            <w:vAlign w:val="center"/>
            <w:hideMark/>
          </w:tcPr>
          <w:p w14:paraId="755D3C3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32" w:type="dxa"/>
            <w:tcBorders>
              <w:top w:val="nil"/>
              <w:left w:val="nil"/>
              <w:bottom w:val="single" w:sz="8" w:space="0" w:color="auto"/>
              <w:right w:val="single" w:sz="8" w:space="0" w:color="auto"/>
            </w:tcBorders>
            <w:shd w:val="clear" w:color="auto" w:fill="auto"/>
            <w:vAlign w:val="center"/>
            <w:hideMark/>
          </w:tcPr>
          <w:p w14:paraId="14DB58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DD1B21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0AA526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987A20D"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3EEF38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A.IV.3.a.-</w:t>
            </w:r>
          </w:p>
        </w:tc>
        <w:tc>
          <w:tcPr>
            <w:tcW w:w="2156" w:type="dxa"/>
            <w:tcBorders>
              <w:top w:val="nil"/>
              <w:left w:val="nil"/>
              <w:bottom w:val="single" w:sz="8" w:space="0" w:color="auto"/>
              <w:right w:val="single" w:sz="8" w:space="0" w:color="auto"/>
            </w:tcBorders>
            <w:shd w:val="clear" w:color="auto" w:fill="auto"/>
            <w:vAlign w:val="center"/>
            <w:hideMark/>
          </w:tcPr>
          <w:p w14:paraId="3101C42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32" w:type="dxa"/>
            <w:tcBorders>
              <w:top w:val="nil"/>
              <w:left w:val="nil"/>
              <w:bottom w:val="single" w:sz="8" w:space="0" w:color="auto"/>
              <w:right w:val="single" w:sz="8" w:space="0" w:color="auto"/>
            </w:tcBorders>
            <w:shd w:val="clear" w:color="auto" w:fill="auto"/>
            <w:vAlign w:val="center"/>
            <w:hideMark/>
          </w:tcPr>
          <w:p w14:paraId="2BD00AD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73C32F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B7D1B2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5EFAF73"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360A25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A.IV.3.a.-</w:t>
            </w:r>
          </w:p>
        </w:tc>
        <w:tc>
          <w:tcPr>
            <w:tcW w:w="2156" w:type="dxa"/>
            <w:tcBorders>
              <w:top w:val="nil"/>
              <w:left w:val="nil"/>
              <w:bottom w:val="single" w:sz="8" w:space="0" w:color="auto"/>
              <w:right w:val="single" w:sz="8" w:space="0" w:color="auto"/>
            </w:tcBorders>
            <w:shd w:val="clear" w:color="auto" w:fill="auto"/>
            <w:vAlign w:val="center"/>
            <w:hideMark/>
          </w:tcPr>
          <w:p w14:paraId="6D41BB3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32" w:type="dxa"/>
            <w:tcBorders>
              <w:top w:val="nil"/>
              <w:left w:val="nil"/>
              <w:bottom w:val="single" w:sz="8" w:space="0" w:color="auto"/>
              <w:right w:val="single" w:sz="8" w:space="0" w:color="auto"/>
            </w:tcBorders>
            <w:shd w:val="clear" w:color="auto" w:fill="auto"/>
            <w:vAlign w:val="center"/>
            <w:hideMark/>
          </w:tcPr>
          <w:p w14:paraId="0DB87A1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92F712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C13FD7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66BB231"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72A93D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A.IV.3.a.-</w:t>
            </w:r>
          </w:p>
        </w:tc>
        <w:tc>
          <w:tcPr>
            <w:tcW w:w="2156" w:type="dxa"/>
            <w:tcBorders>
              <w:top w:val="nil"/>
              <w:left w:val="nil"/>
              <w:bottom w:val="single" w:sz="8" w:space="0" w:color="auto"/>
              <w:right w:val="single" w:sz="8" w:space="0" w:color="auto"/>
            </w:tcBorders>
            <w:shd w:val="clear" w:color="auto" w:fill="auto"/>
            <w:vAlign w:val="center"/>
            <w:hideMark/>
          </w:tcPr>
          <w:p w14:paraId="27774AE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2681033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E652E8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AB6807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620EDF3F" w14:textId="77777777" w:rsidTr="00906F48">
        <w:trPr>
          <w:gridAfter w:val="1"/>
          <w:wAfter w:w="36" w:type="dxa"/>
          <w:trHeight w:val="180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C9FF4E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A.IV.3.b.</w:t>
            </w:r>
          </w:p>
        </w:tc>
        <w:tc>
          <w:tcPr>
            <w:tcW w:w="2156" w:type="dxa"/>
            <w:tcBorders>
              <w:top w:val="nil"/>
              <w:left w:val="nil"/>
              <w:bottom w:val="single" w:sz="8" w:space="0" w:color="auto"/>
              <w:right w:val="single" w:sz="8" w:space="0" w:color="auto"/>
            </w:tcBorders>
            <w:shd w:val="clear" w:color="auto" w:fill="auto"/>
            <w:vAlign w:val="center"/>
            <w:hideMark/>
          </w:tcPr>
          <w:p w14:paraId="1F82A8A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pozostałych jednostkach, w których jednostka posiada zaangażowanie w kapitale</w:t>
            </w:r>
          </w:p>
        </w:tc>
        <w:tc>
          <w:tcPr>
            <w:tcW w:w="1732" w:type="dxa"/>
            <w:tcBorders>
              <w:top w:val="nil"/>
              <w:left w:val="nil"/>
              <w:bottom w:val="single" w:sz="8" w:space="0" w:color="auto"/>
              <w:right w:val="single" w:sz="8" w:space="0" w:color="auto"/>
            </w:tcBorders>
            <w:shd w:val="clear" w:color="auto" w:fill="auto"/>
            <w:vAlign w:val="center"/>
            <w:hideMark/>
          </w:tcPr>
          <w:p w14:paraId="728D79D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8891A0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EB788F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33D1684"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F975A9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A.IV.3.b.-</w:t>
            </w:r>
          </w:p>
        </w:tc>
        <w:tc>
          <w:tcPr>
            <w:tcW w:w="2156" w:type="dxa"/>
            <w:tcBorders>
              <w:top w:val="nil"/>
              <w:left w:val="nil"/>
              <w:bottom w:val="single" w:sz="8" w:space="0" w:color="auto"/>
              <w:right w:val="single" w:sz="8" w:space="0" w:color="auto"/>
            </w:tcBorders>
            <w:shd w:val="clear" w:color="auto" w:fill="auto"/>
            <w:vAlign w:val="center"/>
            <w:hideMark/>
          </w:tcPr>
          <w:p w14:paraId="1C7C140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32" w:type="dxa"/>
            <w:tcBorders>
              <w:top w:val="nil"/>
              <w:left w:val="nil"/>
              <w:bottom w:val="single" w:sz="8" w:space="0" w:color="auto"/>
              <w:right w:val="single" w:sz="8" w:space="0" w:color="auto"/>
            </w:tcBorders>
            <w:shd w:val="clear" w:color="auto" w:fill="auto"/>
            <w:vAlign w:val="center"/>
            <w:hideMark/>
          </w:tcPr>
          <w:p w14:paraId="5F180B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874B2D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FFE20C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2EAFA701"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99588B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A.IV.3.b.-</w:t>
            </w:r>
          </w:p>
        </w:tc>
        <w:tc>
          <w:tcPr>
            <w:tcW w:w="2156" w:type="dxa"/>
            <w:tcBorders>
              <w:top w:val="nil"/>
              <w:left w:val="nil"/>
              <w:bottom w:val="single" w:sz="8" w:space="0" w:color="auto"/>
              <w:right w:val="single" w:sz="8" w:space="0" w:color="auto"/>
            </w:tcBorders>
            <w:shd w:val="clear" w:color="auto" w:fill="auto"/>
            <w:vAlign w:val="center"/>
            <w:hideMark/>
          </w:tcPr>
          <w:p w14:paraId="58AAA84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32" w:type="dxa"/>
            <w:tcBorders>
              <w:top w:val="nil"/>
              <w:left w:val="nil"/>
              <w:bottom w:val="single" w:sz="8" w:space="0" w:color="auto"/>
              <w:right w:val="single" w:sz="8" w:space="0" w:color="auto"/>
            </w:tcBorders>
            <w:shd w:val="clear" w:color="auto" w:fill="auto"/>
            <w:vAlign w:val="center"/>
            <w:hideMark/>
          </w:tcPr>
          <w:p w14:paraId="260592F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EE2EC6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2944F3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6268CCA"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3A6A9C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A.IV.3.b.-</w:t>
            </w:r>
          </w:p>
        </w:tc>
        <w:tc>
          <w:tcPr>
            <w:tcW w:w="2156" w:type="dxa"/>
            <w:tcBorders>
              <w:top w:val="nil"/>
              <w:left w:val="nil"/>
              <w:bottom w:val="single" w:sz="8" w:space="0" w:color="auto"/>
              <w:right w:val="single" w:sz="8" w:space="0" w:color="auto"/>
            </w:tcBorders>
            <w:shd w:val="clear" w:color="auto" w:fill="auto"/>
            <w:vAlign w:val="center"/>
            <w:hideMark/>
          </w:tcPr>
          <w:p w14:paraId="4BCC1E0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32" w:type="dxa"/>
            <w:tcBorders>
              <w:top w:val="nil"/>
              <w:left w:val="nil"/>
              <w:bottom w:val="single" w:sz="8" w:space="0" w:color="auto"/>
              <w:right w:val="single" w:sz="8" w:space="0" w:color="auto"/>
            </w:tcBorders>
            <w:shd w:val="clear" w:color="auto" w:fill="auto"/>
            <w:vAlign w:val="center"/>
            <w:hideMark/>
          </w:tcPr>
          <w:p w14:paraId="70A880C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B613FC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CD8043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49FA0035"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FF4274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A.IV.3.b.-</w:t>
            </w:r>
          </w:p>
        </w:tc>
        <w:tc>
          <w:tcPr>
            <w:tcW w:w="2156" w:type="dxa"/>
            <w:tcBorders>
              <w:top w:val="nil"/>
              <w:left w:val="nil"/>
              <w:bottom w:val="single" w:sz="8" w:space="0" w:color="auto"/>
              <w:right w:val="single" w:sz="8" w:space="0" w:color="auto"/>
            </w:tcBorders>
            <w:shd w:val="clear" w:color="auto" w:fill="auto"/>
            <w:vAlign w:val="center"/>
            <w:hideMark/>
          </w:tcPr>
          <w:p w14:paraId="1493BF6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0322F93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FBF4CD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8F3546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668FC99"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6E6D6B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A.IV.3.c.</w:t>
            </w:r>
          </w:p>
        </w:tc>
        <w:tc>
          <w:tcPr>
            <w:tcW w:w="2156" w:type="dxa"/>
            <w:tcBorders>
              <w:top w:val="nil"/>
              <w:left w:val="nil"/>
              <w:bottom w:val="single" w:sz="8" w:space="0" w:color="auto"/>
              <w:right w:val="single" w:sz="8" w:space="0" w:color="auto"/>
            </w:tcBorders>
            <w:shd w:val="clear" w:color="auto" w:fill="auto"/>
            <w:vAlign w:val="center"/>
            <w:hideMark/>
          </w:tcPr>
          <w:p w14:paraId="30C7B55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pozostałych jednostkach</w:t>
            </w:r>
          </w:p>
        </w:tc>
        <w:tc>
          <w:tcPr>
            <w:tcW w:w="1732" w:type="dxa"/>
            <w:tcBorders>
              <w:top w:val="nil"/>
              <w:left w:val="nil"/>
              <w:bottom w:val="single" w:sz="8" w:space="0" w:color="auto"/>
              <w:right w:val="single" w:sz="8" w:space="0" w:color="auto"/>
            </w:tcBorders>
            <w:shd w:val="clear" w:color="auto" w:fill="auto"/>
            <w:vAlign w:val="center"/>
            <w:hideMark/>
          </w:tcPr>
          <w:p w14:paraId="7884D7C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B56828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0D92B8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4F1E1EEB"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4AF1F6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A.IV.3.c.-</w:t>
            </w:r>
          </w:p>
        </w:tc>
        <w:tc>
          <w:tcPr>
            <w:tcW w:w="2156" w:type="dxa"/>
            <w:tcBorders>
              <w:top w:val="nil"/>
              <w:left w:val="nil"/>
              <w:bottom w:val="single" w:sz="8" w:space="0" w:color="auto"/>
              <w:right w:val="single" w:sz="8" w:space="0" w:color="auto"/>
            </w:tcBorders>
            <w:shd w:val="clear" w:color="auto" w:fill="auto"/>
            <w:vAlign w:val="center"/>
            <w:hideMark/>
          </w:tcPr>
          <w:p w14:paraId="4D5541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32" w:type="dxa"/>
            <w:tcBorders>
              <w:top w:val="nil"/>
              <w:left w:val="nil"/>
              <w:bottom w:val="single" w:sz="8" w:space="0" w:color="auto"/>
              <w:right w:val="single" w:sz="8" w:space="0" w:color="auto"/>
            </w:tcBorders>
            <w:shd w:val="clear" w:color="auto" w:fill="auto"/>
            <w:vAlign w:val="center"/>
            <w:hideMark/>
          </w:tcPr>
          <w:p w14:paraId="5AC4B88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7E8CFF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98003C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33C33C8"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195029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A.IV.3.c.-</w:t>
            </w:r>
          </w:p>
        </w:tc>
        <w:tc>
          <w:tcPr>
            <w:tcW w:w="2156" w:type="dxa"/>
            <w:tcBorders>
              <w:top w:val="nil"/>
              <w:left w:val="nil"/>
              <w:bottom w:val="single" w:sz="8" w:space="0" w:color="auto"/>
              <w:right w:val="single" w:sz="8" w:space="0" w:color="auto"/>
            </w:tcBorders>
            <w:shd w:val="clear" w:color="auto" w:fill="auto"/>
            <w:vAlign w:val="center"/>
            <w:hideMark/>
          </w:tcPr>
          <w:p w14:paraId="5C9190A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32" w:type="dxa"/>
            <w:tcBorders>
              <w:top w:val="nil"/>
              <w:left w:val="nil"/>
              <w:bottom w:val="single" w:sz="8" w:space="0" w:color="auto"/>
              <w:right w:val="single" w:sz="8" w:space="0" w:color="auto"/>
            </w:tcBorders>
            <w:shd w:val="clear" w:color="auto" w:fill="auto"/>
            <w:vAlign w:val="center"/>
            <w:hideMark/>
          </w:tcPr>
          <w:p w14:paraId="576663A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E09DE7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BA8BBD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886A6A2"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79B23F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A.IV.3.c.-</w:t>
            </w:r>
          </w:p>
        </w:tc>
        <w:tc>
          <w:tcPr>
            <w:tcW w:w="2156" w:type="dxa"/>
            <w:tcBorders>
              <w:top w:val="nil"/>
              <w:left w:val="nil"/>
              <w:bottom w:val="single" w:sz="8" w:space="0" w:color="auto"/>
              <w:right w:val="single" w:sz="8" w:space="0" w:color="auto"/>
            </w:tcBorders>
            <w:shd w:val="clear" w:color="auto" w:fill="auto"/>
            <w:vAlign w:val="center"/>
            <w:hideMark/>
          </w:tcPr>
          <w:p w14:paraId="55C0CB2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32" w:type="dxa"/>
            <w:tcBorders>
              <w:top w:val="nil"/>
              <w:left w:val="nil"/>
              <w:bottom w:val="single" w:sz="8" w:space="0" w:color="auto"/>
              <w:right w:val="single" w:sz="8" w:space="0" w:color="auto"/>
            </w:tcBorders>
            <w:shd w:val="clear" w:color="auto" w:fill="auto"/>
            <w:vAlign w:val="center"/>
            <w:hideMark/>
          </w:tcPr>
          <w:p w14:paraId="603E55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268FA9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062C75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2DE82921"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0B34DA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A.IV.3.c.-</w:t>
            </w:r>
          </w:p>
        </w:tc>
        <w:tc>
          <w:tcPr>
            <w:tcW w:w="2156" w:type="dxa"/>
            <w:tcBorders>
              <w:top w:val="nil"/>
              <w:left w:val="nil"/>
              <w:bottom w:val="single" w:sz="8" w:space="0" w:color="auto"/>
              <w:right w:val="single" w:sz="8" w:space="0" w:color="auto"/>
            </w:tcBorders>
            <w:shd w:val="clear" w:color="auto" w:fill="auto"/>
            <w:vAlign w:val="center"/>
            <w:hideMark/>
          </w:tcPr>
          <w:p w14:paraId="69B6A70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1F31B91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19583A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FE7E27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6F7ED3FF"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E7EA37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A.IV.4.</w:t>
            </w:r>
          </w:p>
        </w:tc>
        <w:tc>
          <w:tcPr>
            <w:tcW w:w="2156" w:type="dxa"/>
            <w:tcBorders>
              <w:top w:val="nil"/>
              <w:left w:val="nil"/>
              <w:bottom w:val="single" w:sz="8" w:space="0" w:color="auto"/>
              <w:right w:val="single" w:sz="8" w:space="0" w:color="auto"/>
            </w:tcBorders>
            <w:shd w:val="clear" w:color="auto" w:fill="auto"/>
            <w:vAlign w:val="center"/>
            <w:hideMark/>
          </w:tcPr>
          <w:p w14:paraId="1B52DDB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inwestycje długoterminowe</w:t>
            </w:r>
          </w:p>
        </w:tc>
        <w:tc>
          <w:tcPr>
            <w:tcW w:w="1732" w:type="dxa"/>
            <w:tcBorders>
              <w:top w:val="nil"/>
              <w:left w:val="nil"/>
              <w:bottom w:val="single" w:sz="8" w:space="0" w:color="auto"/>
              <w:right w:val="single" w:sz="8" w:space="0" w:color="auto"/>
            </w:tcBorders>
            <w:shd w:val="clear" w:color="auto" w:fill="auto"/>
            <w:vAlign w:val="center"/>
            <w:hideMark/>
          </w:tcPr>
          <w:p w14:paraId="551046C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C788B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79238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B96E3F3"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6F97D153"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A.V.</w:t>
            </w:r>
          </w:p>
        </w:tc>
        <w:tc>
          <w:tcPr>
            <w:tcW w:w="2156" w:type="dxa"/>
            <w:tcBorders>
              <w:top w:val="nil"/>
              <w:left w:val="nil"/>
              <w:bottom w:val="single" w:sz="8" w:space="0" w:color="auto"/>
              <w:right w:val="single" w:sz="8" w:space="0" w:color="auto"/>
            </w:tcBorders>
            <w:shd w:val="clear" w:color="000000" w:fill="FFFFFF"/>
            <w:vAlign w:val="center"/>
            <w:hideMark/>
          </w:tcPr>
          <w:p w14:paraId="2E46486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Długoterminowe rozliczenia międzyokresowe</w:t>
            </w:r>
          </w:p>
        </w:tc>
        <w:tc>
          <w:tcPr>
            <w:tcW w:w="1732" w:type="dxa"/>
            <w:tcBorders>
              <w:top w:val="nil"/>
              <w:left w:val="nil"/>
              <w:bottom w:val="single" w:sz="8" w:space="0" w:color="auto"/>
              <w:right w:val="single" w:sz="8" w:space="0" w:color="auto"/>
            </w:tcBorders>
            <w:shd w:val="clear" w:color="auto" w:fill="auto"/>
            <w:vAlign w:val="center"/>
            <w:hideMark/>
          </w:tcPr>
          <w:p w14:paraId="5953620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EE416C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F4BD77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0,00</w:t>
            </w:r>
          </w:p>
        </w:tc>
      </w:tr>
      <w:tr w:rsidR="00906F48" w:rsidRPr="00906F48" w14:paraId="387913D9" w14:textId="77777777" w:rsidTr="00906F48">
        <w:trPr>
          <w:gridAfter w:val="1"/>
          <w:wAfter w:w="36" w:type="dxa"/>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6B3BFB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A.V.1.</w:t>
            </w:r>
          </w:p>
        </w:tc>
        <w:tc>
          <w:tcPr>
            <w:tcW w:w="2156" w:type="dxa"/>
            <w:tcBorders>
              <w:top w:val="nil"/>
              <w:left w:val="nil"/>
              <w:bottom w:val="single" w:sz="8" w:space="0" w:color="auto"/>
              <w:right w:val="single" w:sz="8" w:space="0" w:color="auto"/>
            </w:tcBorders>
            <w:shd w:val="clear" w:color="auto" w:fill="auto"/>
            <w:vAlign w:val="center"/>
            <w:hideMark/>
          </w:tcPr>
          <w:p w14:paraId="78CD97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Aktywa z tytułu odroczonego podatku dochodowego</w:t>
            </w:r>
          </w:p>
        </w:tc>
        <w:tc>
          <w:tcPr>
            <w:tcW w:w="1732" w:type="dxa"/>
            <w:tcBorders>
              <w:top w:val="nil"/>
              <w:left w:val="nil"/>
              <w:bottom w:val="single" w:sz="8" w:space="0" w:color="auto"/>
              <w:right w:val="single" w:sz="8" w:space="0" w:color="auto"/>
            </w:tcBorders>
            <w:shd w:val="clear" w:color="auto" w:fill="auto"/>
            <w:vAlign w:val="center"/>
            <w:hideMark/>
          </w:tcPr>
          <w:p w14:paraId="0240D8C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CC86FB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072357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47C4E6A"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7FB345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A.V.2.</w:t>
            </w:r>
          </w:p>
        </w:tc>
        <w:tc>
          <w:tcPr>
            <w:tcW w:w="2156" w:type="dxa"/>
            <w:tcBorders>
              <w:top w:val="nil"/>
              <w:left w:val="nil"/>
              <w:bottom w:val="single" w:sz="8" w:space="0" w:color="auto"/>
              <w:right w:val="single" w:sz="8" w:space="0" w:color="auto"/>
            </w:tcBorders>
            <w:shd w:val="clear" w:color="auto" w:fill="auto"/>
            <w:vAlign w:val="center"/>
            <w:hideMark/>
          </w:tcPr>
          <w:p w14:paraId="1B12E69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rozliczenia międzyokresowe</w:t>
            </w:r>
          </w:p>
        </w:tc>
        <w:tc>
          <w:tcPr>
            <w:tcW w:w="1732" w:type="dxa"/>
            <w:tcBorders>
              <w:top w:val="nil"/>
              <w:left w:val="nil"/>
              <w:bottom w:val="single" w:sz="8" w:space="0" w:color="auto"/>
              <w:right w:val="single" w:sz="8" w:space="0" w:color="auto"/>
            </w:tcBorders>
            <w:shd w:val="clear" w:color="auto" w:fill="auto"/>
            <w:vAlign w:val="center"/>
            <w:hideMark/>
          </w:tcPr>
          <w:p w14:paraId="3F24D6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339FD8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2BF005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178074F" w14:textId="77777777">
        <w:trPr>
          <w:gridAfter w:val="1"/>
          <w:wAfter w:w="36" w:type="dxa"/>
          <w:trHeight w:val="525"/>
        </w:trPr>
        <w:tc>
          <w:tcPr>
            <w:tcW w:w="1516"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3FD9165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w:t>
            </w:r>
          </w:p>
        </w:tc>
        <w:tc>
          <w:tcPr>
            <w:tcW w:w="2156" w:type="dxa"/>
            <w:tcBorders>
              <w:top w:val="single" w:sz="8" w:space="0" w:color="auto"/>
              <w:left w:val="nil"/>
              <w:bottom w:val="single" w:sz="8" w:space="0" w:color="auto"/>
              <w:right w:val="single" w:sz="8" w:space="0" w:color="auto"/>
            </w:tcBorders>
            <w:shd w:val="clear" w:color="000000" w:fill="9CC2E5"/>
            <w:vAlign w:val="center"/>
            <w:hideMark/>
          </w:tcPr>
          <w:p w14:paraId="063A0B2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Aktywa obrotowe</w:t>
            </w:r>
          </w:p>
        </w:tc>
        <w:tc>
          <w:tcPr>
            <w:tcW w:w="1732" w:type="dxa"/>
            <w:tcBorders>
              <w:top w:val="single" w:sz="8" w:space="0" w:color="auto"/>
              <w:left w:val="nil"/>
              <w:bottom w:val="single" w:sz="8" w:space="0" w:color="auto"/>
              <w:right w:val="single" w:sz="8" w:space="0" w:color="auto"/>
            </w:tcBorders>
            <w:shd w:val="clear" w:color="000000" w:fill="9CC2E5"/>
            <w:vAlign w:val="center"/>
            <w:hideMark/>
          </w:tcPr>
          <w:p w14:paraId="7BCA95F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3 666 500,00</w:t>
            </w:r>
          </w:p>
        </w:tc>
        <w:tc>
          <w:tcPr>
            <w:tcW w:w="2130" w:type="dxa"/>
            <w:tcBorders>
              <w:top w:val="single" w:sz="8" w:space="0" w:color="auto"/>
              <w:left w:val="nil"/>
              <w:bottom w:val="single" w:sz="8" w:space="0" w:color="auto"/>
              <w:right w:val="single" w:sz="8" w:space="0" w:color="auto"/>
            </w:tcBorders>
            <w:shd w:val="clear" w:color="000000" w:fill="9CC2E5"/>
            <w:vAlign w:val="center"/>
            <w:hideMark/>
          </w:tcPr>
          <w:p w14:paraId="25E7BA16"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3 725 000,00</w:t>
            </w:r>
          </w:p>
        </w:tc>
        <w:tc>
          <w:tcPr>
            <w:tcW w:w="2130" w:type="dxa"/>
            <w:tcBorders>
              <w:top w:val="single" w:sz="8" w:space="0" w:color="auto"/>
              <w:left w:val="nil"/>
              <w:bottom w:val="single" w:sz="8" w:space="0" w:color="auto"/>
              <w:right w:val="single" w:sz="8" w:space="0" w:color="auto"/>
            </w:tcBorders>
            <w:shd w:val="clear" w:color="000000" w:fill="9CC2E5"/>
            <w:vAlign w:val="center"/>
            <w:hideMark/>
          </w:tcPr>
          <w:p w14:paraId="45DAAEF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4 260 000,00</w:t>
            </w:r>
          </w:p>
        </w:tc>
      </w:tr>
      <w:tr w:rsidR="00906F48" w:rsidRPr="00906F48" w14:paraId="0885FF32"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24BD550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w:t>
            </w:r>
          </w:p>
        </w:tc>
        <w:tc>
          <w:tcPr>
            <w:tcW w:w="2156" w:type="dxa"/>
            <w:tcBorders>
              <w:top w:val="nil"/>
              <w:left w:val="nil"/>
              <w:bottom w:val="single" w:sz="8" w:space="0" w:color="auto"/>
              <w:right w:val="single" w:sz="8" w:space="0" w:color="auto"/>
            </w:tcBorders>
            <w:shd w:val="clear" w:color="000000" w:fill="FFFFFF"/>
            <w:vAlign w:val="center"/>
            <w:hideMark/>
          </w:tcPr>
          <w:p w14:paraId="0E7342EA"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Zapasy</w:t>
            </w:r>
          </w:p>
        </w:tc>
        <w:tc>
          <w:tcPr>
            <w:tcW w:w="1732" w:type="dxa"/>
            <w:tcBorders>
              <w:top w:val="nil"/>
              <w:left w:val="nil"/>
              <w:bottom w:val="single" w:sz="8" w:space="0" w:color="auto"/>
              <w:right w:val="single" w:sz="8" w:space="0" w:color="auto"/>
            </w:tcBorders>
            <w:shd w:val="clear" w:color="auto" w:fill="auto"/>
            <w:vAlign w:val="center"/>
            <w:hideMark/>
          </w:tcPr>
          <w:p w14:paraId="76DAB0E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185 000,00</w:t>
            </w:r>
          </w:p>
        </w:tc>
        <w:tc>
          <w:tcPr>
            <w:tcW w:w="2130" w:type="dxa"/>
            <w:tcBorders>
              <w:top w:val="nil"/>
              <w:left w:val="nil"/>
              <w:bottom w:val="single" w:sz="8" w:space="0" w:color="auto"/>
              <w:right w:val="single" w:sz="8" w:space="0" w:color="auto"/>
            </w:tcBorders>
            <w:shd w:val="clear" w:color="auto" w:fill="auto"/>
            <w:vAlign w:val="center"/>
            <w:hideMark/>
          </w:tcPr>
          <w:p w14:paraId="3EC22421"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200 000,00</w:t>
            </w:r>
          </w:p>
        </w:tc>
        <w:tc>
          <w:tcPr>
            <w:tcW w:w="2130" w:type="dxa"/>
            <w:tcBorders>
              <w:top w:val="nil"/>
              <w:left w:val="nil"/>
              <w:bottom w:val="single" w:sz="8" w:space="0" w:color="auto"/>
              <w:right w:val="single" w:sz="8" w:space="0" w:color="auto"/>
            </w:tcBorders>
            <w:shd w:val="clear" w:color="auto" w:fill="auto"/>
            <w:vAlign w:val="center"/>
            <w:hideMark/>
          </w:tcPr>
          <w:p w14:paraId="38F0CA1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250 000,00</w:t>
            </w:r>
          </w:p>
        </w:tc>
      </w:tr>
      <w:tr w:rsidR="00906F48" w:rsidRPr="00906F48" w14:paraId="3103122C"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79BDA0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B.I.1.</w:t>
            </w:r>
          </w:p>
        </w:tc>
        <w:tc>
          <w:tcPr>
            <w:tcW w:w="2156" w:type="dxa"/>
            <w:tcBorders>
              <w:top w:val="nil"/>
              <w:left w:val="nil"/>
              <w:bottom w:val="single" w:sz="8" w:space="0" w:color="auto"/>
              <w:right w:val="single" w:sz="8" w:space="0" w:color="auto"/>
            </w:tcBorders>
            <w:shd w:val="clear" w:color="auto" w:fill="auto"/>
            <w:vAlign w:val="center"/>
            <w:hideMark/>
          </w:tcPr>
          <w:p w14:paraId="51085FF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Materiały</w:t>
            </w:r>
          </w:p>
        </w:tc>
        <w:tc>
          <w:tcPr>
            <w:tcW w:w="1732" w:type="dxa"/>
            <w:tcBorders>
              <w:top w:val="nil"/>
              <w:left w:val="nil"/>
              <w:bottom w:val="single" w:sz="8" w:space="0" w:color="auto"/>
              <w:right w:val="single" w:sz="8" w:space="0" w:color="auto"/>
            </w:tcBorders>
            <w:shd w:val="clear" w:color="auto" w:fill="auto"/>
            <w:vAlign w:val="center"/>
            <w:hideMark/>
          </w:tcPr>
          <w:p w14:paraId="49555DC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185 000,00</w:t>
            </w:r>
          </w:p>
        </w:tc>
        <w:tc>
          <w:tcPr>
            <w:tcW w:w="2130" w:type="dxa"/>
            <w:tcBorders>
              <w:top w:val="nil"/>
              <w:left w:val="nil"/>
              <w:bottom w:val="single" w:sz="8" w:space="0" w:color="auto"/>
              <w:right w:val="single" w:sz="8" w:space="0" w:color="auto"/>
            </w:tcBorders>
            <w:shd w:val="clear" w:color="auto" w:fill="auto"/>
            <w:vAlign w:val="center"/>
            <w:hideMark/>
          </w:tcPr>
          <w:p w14:paraId="6AFB11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200 000,00</w:t>
            </w:r>
          </w:p>
        </w:tc>
        <w:tc>
          <w:tcPr>
            <w:tcW w:w="2130" w:type="dxa"/>
            <w:tcBorders>
              <w:top w:val="nil"/>
              <w:left w:val="nil"/>
              <w:bottom w:val="single" w:sz="8" w:space="0" w:color="auto"/>
              <w:right w:val="single" w:sz="8" w:space="0" w:color="auto"/>
            </w:tcBorders>
            <w:shd w:val="clear" w:color="auto" w:fill="auto"/>
            <w:vAlign w:val="center"/>
            <w:hideMark/>
          </w:tcPr>
          <w:p w14:paraId="3CD777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250 000,00</w:t>
            </w:r>
          </w:p>
        </w:tc>
      </w:tr>
      <w:tr w:rsidR="00906F48" w:rsidRPr="00906F48" w14:paraId="09A3E658"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DDCF74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B.I.2.</w:t>
            </w:r>
          </w:p>
        </w:tc>
        <w:tc>
          <w:tcPr>
            <w:tcW w:w="2156" w:type="dxa"/>
            <w:tcBorders>
              <w:top w:val="nil"/>
              <w:left w:val="nil"/>
              <w:bottom w:val="single" w:sz="8" w:space="0" w:color="auto"/>
              <w:right w:val="single" w:sz="8" w:space="0" w:color="auto"/>
            </w:tcBorders>
            <w:shd w:val="clear" w:color="auto" w:fill="auto"/>
            <w:vAlign w:val="center"/>
            <w:hideMark/>
          </w:tcPr>
          <w:p w14:paraId="0106473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Półprodukty i produkty w toku</w:t>
            </w:r>
          </w:p>
        </w:tc>
        <w:tc>
          <w:tcPr>
            <w:tcW w:w="1732" w:type="dxa"/>
            <w:tcBorders>
              <w:top w:val="nil"/>
              <w:left w:val="nil"/>
              <w:bottom w:val="single" w:sz="8" w:space="0" w:color="auto"/>
              <w:right w:val="single" w:sz="8" w:space="0" w:color="auto"/>
            </w:tcBorders>
            <w:shd w:val="clear" w:color="auto" w:fill="auto"/>
            <w:vAlign w:val="center"/>
            <w:hideMark/>
          </w:tcPr>
          <w:p w14:paraId="68E6D13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9F4E2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29C84E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A4EE4F9" w14:textId="77777777" w:rsidTr="00906F48">
        <w:trPr>
          <w:gridAfter w:val="1"/>
          <w:wAfter w:w="36" w:type="dxa"/>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FC86F9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B.I.3.</w:t>
            </w:r>
          </w:p>
        </w:tc>
        <w:tc>
          <w:tcPr>
            <w:tcW w:w="2156" w:type="dxa"/>
            <w:tcBorders>
              <w:top w:val="nil"/>
              <w:left w:val="nil"/>
              <w:bottom w:val="single" w:sz="8" w:space="0" w:color="auto"/>
              <w:right w:val="single" w:sz="8" w:space="0" w:color="auto"/>
            </w:tcBorders>
            <w:shd w:val="clear" w:color="auto" w:fill="auto"/>
            <w:vAlign w:val="center"/>
            <w:hideMark/>
          </w:tcPr>
          <w:p w14:paraId="776D175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Produkty gotowe</w:t>
            </w:r>
          </w:p>
        </w:tc>
        <w:tc>
          <w:tcPr>
            <w:tcW w:w="1732" w:type="dxa"/>
            <w:tcBorders>
              <w:top w:val="nil"/>
              <w:left w:val="nil"/>
              <w:bottom w:val="single" w:sz="8" w:space="0" w:color="auto"/>
              <w:right w:val="single" w:sz="8" w:space="0" w:color="auto"/>
            </w:tcBorders>
            <w:shd w:val="clear" w:color="auto" w:fill="auto"/>
            <w:vAlign w:val="center"/>
            <w:hideMark/>
          </w:tcPr>
          <w:p w14:paraId="2F2472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43D8DB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8720C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5E59EC8" w14:textId="77777777" w:rsidTr="00906F48">
        <w:trPr>
          <w:gridAfter w:val="1"/>
          <w:wAfter w:w="36" w:type="dxa"/>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FB320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B.I.4.</w:t>
            </w:r>
          </w:p>
        </w:tc>
        <w:tc>
          <w:tcPr>
            <w:tcW w:w="2156" w:type="dxa"/>
            <w:tcBorders>
              <w:top w:val="nil"/>
              <w:left w:val="nil"/>
              <w:bottom w:val="single" w:sz="8" w:space="0" w:color="auto"/>
              <w:right w:val="single" w:sz="8" w:space="0" w:color="auto"/>
            </w:tcBorders>
            <w:shd w:val="clear" w:color="auto" w:fill="auto"/>
            <w:vAlign w:val="center"/>
            <w:hideMark/>
          </w:tcPr>
          <w:p w14:paraId="55E2E11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Towary</w:t>
            </w:r>
          </w:p>
        </w:tc>
        <w:tc>
          <w:tcPr>
            <w:tcW w:w="1732" w:type="dxa"/>
            <w:tcBorders>
              <w:top w:val="nil"/>
              <w:left w:val="nil"/>
              <w:bottom w:val="single" w:sz="8" w:space="0" w:color="auto"/>
              <w:right w:val="single" w:sz="8" w:space="0" w:color="auto"/>
            </w:tcBorders>
            <w:shd w:val="clear" w:color="auto" w:fill="auto"/>
            <w:vAlign w:val="center"/>
            <w:hideMark/>
          </w:tcPr>
          <w:p w14:paraId="7BE29EF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FF9B25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93A8A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9F9D95C" w14:textId="77777777" w:rsidTr="00906F48">
        <w:trPr>
          <w:gridAfter w:val="1"/>
          <w:wAfter w:w="36" w:type="dxa"/>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509130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B.I.5.</w:t>
            </w:r>
          </w:p>
        </w:tc>
        <w:tc>
          <w:tcPr>
            <w:tcW w:w="2156" w:type="dxa"/>
            <w:tcBorders>
              <w:top w:val="nil"/>
              <w:left w:val="nil"/>
              <w:bottom w:val="single" w:sz="8" w:space="0" w:color="auto"/>
              <w:right w:val="single" w:sz="8" w:space="0" w:color="auto"/>
            </w:tcBorders>
            <w:shd w:val="clear" w:color="auto" w:fill="auto"/>
            <w:vAlign w:val="center"/>
            <w:hideMark/>
          </w:tcPr>
          <w:p w14:paraId="582BF27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Zaliczki na dostawy i usługi</w:t>
            </w:r>
          </w:p>
        </w:tc>
        <w:tc>
          <w:tcPr>
            <w:tcW w:w="1732" w:type="dxa"/>
            <w:tcBorders>
              <w:top w:val="nil"/>
              <w:left w:val="nil"/>
              <w:bottom w:val="single" w:sz="8" w:space="0" w:color="auto"/>
              <w:right w:val="single" w:sz="8" w:space="0" w:color="auto"/>
            </w:tcBorders>
            <w:shd w:val="clear" w:color="auto" w:fill="auto"/>
            <w:vAlign w:val="center"/>
            <w:hideMark/>
          </w:tcPr>
          <w:p w14:paraId="2901DA4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71EE8B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7D1E2E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6707A812" w14:textId="77777777" w:rsidTr="00906F48">
        <w:trPr>
          <w:gridAfter w:val="1"/>
          <w:wAfter w:w="36" w:type="dxa"/>
          <w:trHeight w:val="705"/>
        </w:trPr>
        <w:tc>
          <w:tcPr>
            <w:tcW w:w="15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146F6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B.II.</w:t>
            </w:r>
          </w:p>
        </w:tc>
        <w:tc>
          <w:tcPr>
            <w:tcW w:w="21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034346"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Należności krótkoterminowe</w:t>
            </w:r>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038A16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3 390 000,00</w:t>
            </w:r>
          </w:p>
        </w:tc>
        <w:tc>
          <w:tcPr>
            <w:tcW w:w="2130" w:type="dxa"/>
            <w:vMerge w:val="restart"/>
            <w:tcBorders>
              <w:top w:val="nil"/>
              <w:left w:val="single" w:sz="8" w:space="0" w:color="auto"/>
              <w:bottom w:val="single" w:sz="8" w:space="0" w:color="000000"/>
              <w:right w:val="single" w:sz="8" w:space="0" w:color="auto"/>
            </w:tcBorders>
            <w:shd w:val="clear" w:color="auto" w:fill="auto"/>
            <w:vAlign w:val="center"/>
            <w:hideMark/>
          </w:tcPr>
          <w:p w14:paraId="3793F4F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3 430 000,00</w:t>
            </w:r>
          </w:p>
        </w:tc>
        <w:tc>
          <w:tcPr>
            <w:tcW w:w="2130" w:type="dxa"/>
            <w:vMerge w:val="restart"/>
            <w:tcBorders>
              <w:top w:val="nil"/>
              <w:left w:val="single" w:sz="8" w:space="0" w:color="auto"/>
              <w:bottom w:val="single" w:sz="8" w:space="0" w:color="000000"/>
              <w:right w:val="single" w:sz="8" w:space="0" w:color="auto"/>
            </w:tcBorders>
            <w:shd w:val="clear" w:color="auto" w:fill="auto"/>
            <w:vAlign w:val="center"/>
            <w:hideMark/>
          </w:tcPr>
          <w:p w14:paraId="422A2CD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3 880 000,00</w:t>
            </w:r>
          </w:p>
        </w:tc>
      </w:tr>
      <w:tr w:rsidR="00906F48" w:rsidRPr="00906F48" w14:paraId="56C67714" w14:textId="77777777" w:rsidTr="00906F48">
        <w:trPr>
          <w:trHeight w:val="630"/>
        </w:trPr>
        <w:tc>
          <w:tcPr>
            <w:tcW w:w="1516" w:type="dxa"/>
            <w:vMerge/>
            <w:tcBorders>
              <w:top w:val="nil"/>
              <w:left w:val="single" w:sz="8" w:space="0" w:color="auto"/>
              <w:bottom w:val="single" w:sz="8" w:space="0" w:color="000000"/>
              <w:right w:val="single" w:sz="8" w:space="0" w:color="auto"/>
            </w:tcBorders>
            <w:vAlign w:val="center"/>
            <w:hideMark/>
          </w:tcPr>
          <w:p w14:paraId="2BC7A490" w14:textId="77777777" w:rsidR="00906F48" w:rsidRPr="00906F48" w:rsidRDefault="00906F48" w:rsidP="00906F48">
            <w:pPr>
              <w:suppressAutoHyphens w:val="0"/>
              <w:spacing w:line="240" w:lineRule="auto"/>
              <w:rPr>
                <w:b/>
                <w:bCs/>
                <w:sz w:val="20"/>
                <w:szCs w:val="20"/>
                <w:lang w:eastAsia="pl-PL"/>
              </w:rPr>
            </w:pPr>
          </w:p>
        </w:tc>
        <w:tc>
          <w:tcPr>
            <w:tcW w:w="2156" w:type="dxa"/>
            <w:vMerge/>
            <w:tcBorders>
              <w:top w:val="nil"/>
              <w:left w:val="single" w:sz="8" w:space="0" w:color="auto"/>
              <w:bottom w:val="single" w:sz="8" w:space="0" w:color="000000"/>
              <w:right w:val="single" w:sz="8" w:space="0" w:color="auto"/>
            </w:tcBorders>
            <w:vAlign w:val="center"/>
            <w:hideMark/>
          </w:tcPr>
          <w:p w14:paraId="250102FA" w14:textId="77777777" w:rsidR="00906F48" w:rsidRPr="00906F48" w:rsidRDefault="00906F48" w:rsidP="00906F48">
            <w:pPr>
              <w:suppressAutoHyphens w:val="0"/>
              <w:spacing w:line="240" w:lineRule="auto"/>
              <w:rPr>
                <w:b/>
                <w:bCs/>
                <w:sz w:val="20"/>
                <w:szCs w:val="20"/>
                <w:lang w:eastAsia="pl-PL"/>
              </w:rPr>
            </w:pPr>
          </w:p>
        </w:tc>
        <w:tc>
          <w:tcPr>
            <w:tcW w:w="1732" w:type="dxa"/>
            <w:vMerge/>
            <w:tcBorders>
              <w:top w:val="nil"/>
              <w:left w:val="single" w:sz="8" w:space="0" w:color="auto"/>
              <w:bottom w:val="single" w:sz="8" w:space="0" w:color="000000"/>
              <w:right w:val="single" w:sz="8" w:space="0" w:color="auto"/>
            </w:tcBorders>
            <w:vAlign w:val="center"/>
            <w:hideMark/>
          </w:tcPr>
          <w:p w14:paraId="32DC026B" w14:textId="77777777" w:rsidR="00906F48" w:rsidRPr="00906F48" w:rsidRDefault="00906F48" w:rsidP="00906F48">
            <w:pPr>
              <w:suppressAutoHyphens w:val="0"/>
              <w:spacing w:line="240" w:lineRule="auto"/>
              <w:rPr>
                <w:b/>
                <w:bCs/>
                <w:sz w:val="20"/>
                <w:szCs w:val="20"/>
                <w:lang w:eastAsia="pl-PL"/>
              </w:rPr>
            </w:pPr>
          </w:p>
        </w:tc>
        <w:tc>
          <w:tcPr>
            <w:tcW w:w="2130" w:type="dxa"/>
            <w:vMerge/>
            <w:tcBorders>
              <w:top w:val="nil"/>
              <w:left w:val="single" w:sz="8" w:space="0" w:color="auto"/>
              <w:bottom w:val="single" w:sz="8" w:space="0" w:color="000000"/>
              <w:right w:val="single" w:sz="8" w:space="0" w:color="auto"/>
            </w:tcBorders>
            <w:vAlign w:val="center"/>
            <w:hideMark/>
          </w:tcPr>
          <w:p w14:paraId="3D55954B" w14:textId="77777777" w:rsidR="00906F48" w:rsidRPr="00906F48" w:rsidRDefault="00906F48" w:rsidP="00906F48">
            <w:pPr>
              <w:suppressAutoHyphens w:val="0"/>
              <w:spacing w:line="240" w:lineRule="auto"/>
              <w:rPr>
                <w:b/>
                <w:bCs/>
                <w:sz w:val="20"/>
                <w:szCs w:val="20"/>
                <w:lang w:eastAsia="pl-PL"/>
              </w:rPr>
            </w:pPr>
          </w:p>
        </w:tc>
        <w:tc>
          <w:tcPr>
            <w:tcW w:w="2130" w:type="dxa"/>
            <w:vMerge/>
            <w:tcBorders>
              <w:top w:val="nil"/>
              <w:left w:val="single" w:sz="8" w:space="0" w:color="auto"/>
              <w:bottom w:val="single" w:sz="8" w:space="0" w:color="000000"/>
              <w:right w:val="single" w:sz="8" w:space="0" w:color="auto"/>
            </w:tcBorders>
            <w:vAlign w:val="center"/>
            <w:hideMark/>
          </w:tcPr>
          <w:p w14:paraId="174D3098" w14:textId="77777777" w:rsidR="00906F48" w:rsidRPr="00906F48" w:rsidRDefault="00906F48" w:rsidP="00906F48">
            <w:pPr>
              <w:suppressAutoHyphens w:val="0"/>
              <w:spacing w:line="240" w:lineRule="auto"/>
              <w:rPr>
                <w:b/>
                <w:bCs/>
                <w:sz w:val="20"/>
                <w:szCs w:val="20"/>
                <w:lang w:eastAsia="pl-PL"/>
              </w:rPr>
            </w:pPr>
          </w:p>
        </w:tc>
        <w:tc>
          <w:tcPr>
            <w:tcW w:w="36" w:type="dxa"/>
            <w:tcBorders>
              <w:top w:val="nil"/>
              <w:left w:val="nil"/>
              <w:bottom w:val="nil"/>
              <w:right w:val="nil"/>
            </w:tcBorders>
            <w:shd w:val="clear" w:color="auto" w:fill="auto"/>
            <w:noWrap/>
            <w:vAlign w:val="bottom"/>
            <w:hideMark/>
          </w:tcPr>
          <w:p w14:paraId="074E029A" w14:textId="77777777" w:rsidR="00906F48" w:rsidRPr="00906F48" w:rsidRDefault="00906F48" w:rsidP="00906F48">
            <w:pPr>
              <w:suppressAutoHyphens w:val="0"/>
              <w:spacing w:line="240" w:lineRule="auto"/>
              <w:jc w:val="center"/>
              <w:rPr>
                <w:b/>
                <w:bCs/>
                <w:sz w:val="20"/>
                <w:szCs w:val="20"/>
                <w:lang w:eastAsia="pl-PL"/>
              </w:rPr>
            </w:pPr>
          </w:p>
        </w:tc>
      </w:tr>
      <w:tr w:rsidR="00906F48" w:rsidRPr="00906F48" w14:paraId="45B5E7E0"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6D32FC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B.II.1.</w:t>
            </w:r>
          </w:p>
        </w:tc>
        <w:tc>
          <w:tcPr>
            <w:tcW w:w="2156" w:type="dxa"/>
            <w:tcBorders>
              <w:top w:val="nil"/>
              <w:left w:val="nil"/>
              <w:bottom w:val="single" w:sz="8" w:space="0" w:color="auto"/>
              <w:right w:val="single" w:sz="8" w:space="0" w:color="auto"/>
            </w:tcBorders>
            <w:shd w:val="clear" w:color="auto" w:fill="auto"/>
            <w:vAlign w:val="center"/>
            <w:hideMark/>
          </w:tcPr>
          <w:p w14:paraId="3EDBD1C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Należności od jednostek powiązanych</w:t>
            </w:r>
          </w:p>
        </w:tc>
        <w:tc>
          <w:tcPr>
            <w:tcW w:w="1732" w:type="dxa"/>
            <w:tcBorders>
              <w:top w:val="nil"/>
              <w:left w:val="nil"/>
              <w:bottom w:val="single" w:sz="8" w:space="0" w:color="auto"/>
              <w:right w:val="single" w:sz="8" w:space="0" w:color="auto"/>
            </w:tcBorders>
            <w:shd w:val="clear" w:color="auto" w:fill="auto"/>
            <w:vAlign w:val="center"/>
            <w:hideMark/>
          </w:tcPr>
          <w:p w14:paraId="120AE6B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74252F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67504E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6249D67A"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0AD6CADA"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E8D693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B.II.1.a.</w:t>
            </w:r>
          </w:p>
        </w:tc>
        <w:tc>
          <w:tcPr>
            <w:tcW w:w="2156" w:type="dxa"/>
            <w:tcBorders>
              <w:top w:val="nil"/>
              <w:left w:val="nil"/>
              <w:bottom w:val="single" w:sz="8" w:space="0" w:color="auto"/>
              <w:right w:val="single" w:sz="8" w:space="0" w:color="auto"/>
            </w:tcBorders>
            <w:shd w:val="clear" w:color="auto" w:fill="auto"/>
            <w:vAlign w:val="center"/>
            <w:hideMark/>
          </w:tcPr>
          <w:p w14:paraId="420B6CC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32" w:type="dxa"/>
            <w:tcBorders>
              <w:top w:val="nil"/>
              <w:left w:val="nil"/>
              <w:bottom w:val="single" w:sz="8" w:space="0" w:color="auto"/>
              <w:right w:val="single" w:sz="8" w:space="0" w:color="auto"/>
            </w:tcBorders>
            <w:shd w:val="clear" w:color="auto" w:fill="auto"/>
            <w:vAlign w:val="center"/>
            <w:hideMark/>
          </w:tcPr>
          <w:p w14:paraId="4B59E94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357762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D5D825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675D8C28"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2B5C67F"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D30CB6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B.II.1.a.-</w:t>
            </w:r>
          </w:p>
        </w:tc>
        <w:tc>
          <w:tcPr>
            <w:tcW w:w="2156" w:type="dxa"/>
            <w:tcBorders>
              <w:top w:val="nil"/>
              <w:left w:val="nil"/>
              <w:bottom w:val="single" w:sz="8" w:space="0" w:color="auto"/>
              <w:right w:val="single" w:sz="8" w:space="0" w:color="auto"/>
            </w:tcBorders>
            <w:shd w:val="clear" w:color="auto" w:fill="auto"/>
            <w:vAlign w:val="center"/>
            <w:hideMark/>
          </w:tcPr>
          <w:p w14:paraId="03F765A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32" w:type="dxa"/>
            <w:tcBorders>
              <w:top w:val="nil"/>
              <w:left w:val="nil"/>
              <w:bottom w:val="single" w:sz="8" w:space="0" w:color="auto"/>
              <w:right w:val="single" w:sz="8" w:space="0" w:color="auto"/>
            </w:tcBorders>
            <w:shd w:val="clear" w:color="auto" w:fill="auto"/>
            <w:vAlign w:val="center"/>
            <w:hideMark/>
          </w:tcPr>
          <w:p w14:paraId="4503F65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40F0BD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04586C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6505410"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7AE458D"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28CEA6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B.II.1.a.-</w:t>
            </w:r>
          </w:p>
        </w:tc>
        <w:tc>
          <w:tcPr>
            <w:tcW w:w="2156" w:type="dxa"/>
            <w:tcBorders>
              <w:top w:val="nil"/>
              <w:left w:val="nil"/>
              <w:bottom w:val="single" w:sz="8" w:space="0" w:color="auto"/>
              <w:right w:val="single" w:sz="8" w:space="0" w:color="auto"/>
            </w:tcBorders>
            <w:shd w:val="clear" w:color="auto" w:fill="auto"/>
            <w:vAlign w:val="center"/>
            <w:hideMark/>
          </w:tcPr>
          <w:p w14:paraId="230A2DD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32" w:type="dxa"/>
            <w:tcBorders>
              <w:top w:val="nil"/>
              <w:left w:val="nil"/>
              <w:bottom w:val="single" w:sz="8" w:space="0" w:color="auto"/>
              <w:right w:val="single" w:sz="8" w:space="0" w:color="auto"/>
            </w:tcBorders>
            <w:shd w:val="clear" w:color="auto" w:fill="auto"/>
            <w:vAlign w:val="center"/>
            <w:hideMark/>
          </w:tcPr>
          <w:p w14:paraId="588D6D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4B412E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B4712F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0AEA9A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1402DAA4"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3AF17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B.II.1.b.</w:t>
            </w:r>
          </w:p>
        </w:tc>
        <w:tc>
          <w:tcPr>
            <w:tcW w:w="2156" w:type="dxa"/>
            <w:tcBorders>
              <w:top w:val="nil"/>
              <w:left w:val="nil"/>
              <w:bottom w:val="single" w:sz="8" w:space="0" w:color="auto"/>
              <w:right w:val="single" w:sz="8" w:space="0" w:color="auto"/>
            </w:tcBorders>
            <w:shd w:val="clear" w:color="auto" w:fill="auto"/>
            <w:vAlign w:val="center"/>
            <w:hideMark/>
          </w:tcPr>
          <w:p w14:paraId="6F2C2AE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32" w:type="dxa"/>
            <w:tcBorders>
              <w:top w:val="nil"/>
              <w:left w:val="nil"/>
              <w:bottom w:val="single" w:sz="8" w:space="0" w:color="auto"/>
              <w:right w:val="single" w:sz="8" w:space="0" w:color="auto"/>
            </w:tcBorders>
            <w:shd w:val="clear" w:color="auto" w:fill="auto"/>
            <w:vAlign w:val="center"/>
            <w:hideMark/>
          </w:tcPr>
          <w:p w14:paraId="0C76BEB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27ED0B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618CCD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07783A9"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154128A" w14:textId="77777777" w:rsidTr="00906F48">
        <w:trPr>
          <w:trHeight w:val="205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C8A7CC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w:t>
            </w:r>
          </w:p>
        </w:tc>
        <w:tc>
          <w:tcPr>
            <w:tcW w:w="2156" w:type="dxa"/>
            <w:tcBorders>
              <w:top w:val="nil"/>
              <w:left w:val="nil"/>
              <w:bottom w:val="single" w:sz="8" w:space="0" w:color="auto"/>
              <w:right w:val="single" w:sz="8" w:space="0" w:color="auto"/>
            </w:tcBorders>
            <w:shd w:val="clear" w:color="auto" w:fill="auto"/>
            <w:vAlign w:val="center"/>
            <w:hideMark/>
          </w:tcPr>
          <w:p w14:paraId="77E2994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Należności od pozostałych jednostek, w których jednostka posiada zaangażowanie w kapitale</w:t>
            </w:r>
          </w:p>
        </w:tc>
        <w:tc>
          <w:tcPr>
            <w:tcW w:w="1732" w:type="dxa"/>
            <w:tcBorders>
              <w:top w:val="nil"/>
              <w:left w:val="nil"/>
              <w:bottom w:val="single" w:sz="8" w:space="0" w:color="auto"/>
              <w:right w:val="single" w:sz="8" w:space="0" w:color="auto"/>
            </w:tcBorders>
            <w:shd w:val="clear" w:color="auto" w:fill="auto"/>
            <w:vAlign w:val="center"/>
            <w:hideMark/>
          </w:tcPr>
          <w:p w14:paraId="4B1F9D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6E633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842B57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237CA2D"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32EF0B5A"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1580B1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B.II.2.a.</w:t>
            </w:r>
          </w:p>
        </w:tc>
        <w:tc>
          <w:tcPr>
            <w:tcW w:w="2156" w:type="dxa"/>
            <w:tcBorders>
              <w:top w:val="nil"/>
              <w:left w:val="nil"/>
              <w:bottom w:val="single" w:sz="8" w:space="0" w:color="auto"/>
              <w:right w:val="single" w:sz="8" w:space="0" w:color="auto"/>
            </w:tcBorders>
            <w:shd w:val="clear" w:color="auto" w:fill="auto"/>
            <w:vAlign w:val="center"/>
            <w:hideMark/>
          </w:tcPr>
          <w:p w14:paraId="39ADDB0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32" w:type="dxa"/>
            <w:tcBorders>
              <w:top w:val="nil"/>
              <w:left w:val="nil"/>
              <w:bottom w:val="single" w:sz="8" w:space="0" w:color="auto"/>
              <w:right w:val="single" w:sz="8" w:space="0" w:color="auto"/>
            </w:tcBorders>
            <w:shd w:val="clear" w:color="auto" w:fill="auto"/>
            <w:vAlign w:val="center"/>
            <w:hideMark/>
          </w:tcPr>
          <w:p w14:paraId="5DB8706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7BE4AD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A48C40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44956922"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BCEE377"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79358E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B.II.2.a.-</w:t>
            </w:r>
          </w:p>
        </w:tc>
        <w:tc>
          <w:tcPr>
            <w:tcW w:w="2156" w:type="dxa"/>
            <w:tcBorders>
              <w:top w:val="nil"/>
              <w:left w:val="nil"/>
              <w:bottom w:val="single" w:sz="8" w:space="0" w:color="auto"/>
              <w:right w:val="single" w:sz="8" w:space="0" w:color="auto"/>
            </w:tcBorders>
            <w:shd w:val="clear" w:color="auto" w:fill="auto"/>
            <w:vAlign w:val="center"/>
            <w:hideMark/>
          </w:tcPr>
          <w:p w14:paraId="0AC694A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32" w:type="dxa"/>
            <w:tcBorders>
              <w:top w:val="nil"/>
              <w:left w:val="nil"/>
              <w:bottom w:val="single" w:sz="8" w:space="0" w:color="auto"/>
              <w:right w:val="single" w:sz="8" w:space="0" w:color="auto"/>
            </w:tcBorders>
            <w:shd w:val="clear" w:color="auto" w:fill="auto"/>
            <w:vAlign w:val="center"/>
            <w:hideMark/>
          </w:tcPr>
          <w:p w14:paraId="7F40778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73608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EED1E3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9AD6380"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A7570E4"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AF92E6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B.II.2.a.-</w:t>
            </w:r>
          </w:p>
        </w:tc>
        <w:tc>
          <w:tcPr>
            <w:tcW w:w="2156" w:type="dxa"/>
            <w:tcBorders>
              <w:top w:val="nil"/>
              <w:left w:val="nil"/>
              <w:bottom w:val="single" w:sz="8" w:space="0" w:color="auto"/>
              <w:right w:val="single" w:sz="8" w:space="0" w:color="auto"/>
            </w:tcBorders>
            <w:shd w:val="clear" w:color="auto" w:fill="auto"/>
            <w:vAlign w:val="center"/>
            <w:hideMark/>
          </w:tcPr>
          <w:p w14:paraId="347563D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32" w:type="dxa"/>
            <w:tcBorders>
              <w:top w:val="nil"/>
              <w:left w:val="nil"/>
              <w:bottom w:val="single" w:sz="8" w:space="0" w:color="auto"/>
              <w:right w:val="single" w:sz="8" w:space="0" w:color="auto"/>
            </w:tcBorders>
            <w:shd w:val="clear" w:color="auto" w:fill="auto"/>
            <w:vAlign w:val="center"/>
            <w:hideMark/>
          </w:tcPr>
          <w:p w14:paraId="1684A4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9B5D07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F0B03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748C6E6E"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CEC8577"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678A94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B.II.2.b.</w:t>
            </w:r>
          </w:p>
        </w:tc>
        <w:tc>
          <w:tcPr>
            <w:tcW w:w="2156" w:type="dxa"/>
            <w:tcBorders>
              <w:top w:val="nil"/>
              <w:left w:val="nil"/>
              <w:bottom w:val="single" w:sz="8" w:space="0" w:color="auto"/>
              <w:right w:val="single" w:sz="8" w:space="0" w:color="auto"/>
            </w:tcBorders>
            <w:shd w:val="clear" w:color="auto" w:fill="auto"/>
            <w:vAlign w:val="center"/>
            <w:hideMark/>
          </w:tcPr>
          <w:p w14:paraId="2E02E97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32" w:type="dxa"/>
            <w:tcBorders>
              <w:top w:val="nil"/>
              <w:left w:val="nil"/>
              <w:bottom w:val="single" w:sz="8" w:space="0" w:color="auto"/>
              <w:right w:val="single" w:sz="8" w:space="0" w:color="auto"/>
            </w:tcBorders>
            <w:shd w:val="clear" w:color="auto" w:fill="auto"/>
            <w:vAlign w:val="center"/>
            <w:hideMark/>
          </w:tcPr>
          <w:p w14:paraId="40C2C6C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B4FBC1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CF0BB3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A4B118A"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247A3BFE"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8C9182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w:t>
            </w:r>
          </w:p>
        </w:tc>
        <w:tc>
          <w:tcPr>
            <w:tcW w:w="2156" w:type="dxa"/>
            <w:tcBorders>
              <w:top w:val="nil"/>
              <w:left w:val="nil"/>
              <w:bottom w:val="single" w:sz="8" w:space="0" w:color="auto"/>
              <w:right w:val="single" w:sz="8" w:space="0" w:color="auto"/>
            </w:tcBorders>
            <w:shd w:val="clear" w:color="auto" w:fill="auto"/>
            <w:vAlign w:val="center"/>
            <w:hideMark/>
          </w:tcPr>
          <w:p w14:paraId="75AF3AB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Należności od pozostałych jednostek</w:t>
            </w:r>
          </w:p>
        </w:tc>
        <w:tc>
          <w:tcPr>
            <w:tcW w:w="1732" w:type="dxa"/>
            <w:tcBorders>
              <w:top w:val="nil"/>
              <w:left w:val="nil"/>
              <w:bottom w:val="single" w:sz="8" w:space="0" w:color="auto"/>
              <w:right w:val="single" w:sz="8" w:space="0" w:color="auto"/>
            </w:tcBorders>
            <w:shd w:val="clear" w:color="auto" w:fill="auto"/>
            <w:vAlign w:val="center"/>
            <w:hideMark/>
          </w:tcPr>
          <w:p w14:paraId="5E6BABE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3 390 000,00</w:t>
            </w:r>
          </w:p>
        </w:tc>
        <w:tc>
          <w:tcPr>
            <w:tcW w:w="2130" w:type="dxa"/>
            <w:tcBorders>
              <w:top w:val="nil"/>
              <w:left w:val="nil"/>
              <w:bottom w:val="single" w:sz="8" w:space="0" w:color="auto"/>
              <w:right w:val="single" w:sz="8" w:space="0" w:color="auto"/>
            </w:tcBorders>
            <w:shd w:val="clear" w:color="auto" w:fill="auto"/>
            <w:vAlign w:val="center"/>
            <w:hideMark/>
          </w:tcPr>
          <w:p w14:paraId="63AEDD3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3 430 000,00</w:t>
            </w:r>
          </w:p>
        </w:tc>
        <w:tc>
          <w:tcPr>
            <w:tcW w:w="2130" w:type="dxa"/>
            <w:tcBorders>
              <w:top w:val="nil"/>
              <w:left w:val="nil"/>
              <w:bottom w:val="single" w:sz="8" w:space="0" w:color="auto"/>
              <w:right w:val="single" w:sz="8" w:space="0" w:color="auto"/>
            </w:tcBorders>
            <w:shd w:val="clear" w:color="auto" w:fill="auto"/>
            <w:vAlign w:val="center"/>
            <w:hideMark/>
          </w:tcPr>
          <w:p w14:paraId="4668689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3 880 000,00</w:t>
            </w:r>
          </w:p>
        </w:tc>
        <w:tc>
          <w:tcPr>
            <w:tcW w:w="36" w:type="dxa"/>
            <w:vAlign w:val="center"/>
            <w:hideMark/>
          </w:tcPr>
          <w:p w14:paraId="2E80F66B"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169C8F51"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05C3FF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B.II.3.a.</w:t>
            </w:r>
          </w:p>
        </w:tc>
        <w:tc>
          <w:tcPr>
            <w:tcW w:w="2156" w:type="dxa"/>
            <w:tcBorders>
              <w:top w:val="nil"/>
              <w:left w:val="nil"/>
              <w:bottom w:val="single" w:sz="8" w:space="0" w:color="auto"/>
              <w:right w:val="single" w:sz="8" w:space="0" w:color="auto"/>
            </w:tcBorders>
            <w:shd w:val="clear" w:color="auto" w:fill="auto"/>
            <w:vAlign w:val="center"/>
            <w:hideMark/>
          </w:tcPr>
          <w:p w14:paraId="6E0DAA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32" w:type="dxa"/>
            <w:tcBorders>
              <w:top w:val="nil"/>
              <w:left w:val="nil"/>
              <w:bottom w:val="single" w:sz="8" w:space="0" w:color="auto"/>
              <w:right w:val="single" w:sz="8" w:space="0" w:color="auto"/>
            </w:tcBorders>
            <w:shd w:val="clear" w:color="auto" w:fill="auto"/>
            <w:vAlign w:val="center"/>
            <w:hideMark/>
          </w:tcPr>
          <w:p w14:paraId="1D58F26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3 300 000,00</w:t>
            </w:r>
          </w:p>
        </w:tc>
        <w:tc>
          <w:tcPr>
            <w:tcW w:w="2130" w:type="dxa"/>
            <w:tcBorders>
              <w:top w:val="nil"/>
              <w:left w:val="nil"/>
              <w:bottom w:val="single" w:sz="8" w:space="0" w:color="auto"/>
              <w:right w:val="single" w:sz="8" w:space="0" w:color="auto"/>
            </w:tcBorders>
            <w:shd w:val="clear" w:color="auto" w:fill="auto"/>
            <w:vAlign w:val="center"/>
            <w:hideMark/>
          </w:tcPr>
          <w:p w14:paraId="78576B7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3 350 000,00</w:t>
            </w:r>
          </w:p>
        </w:tc>
        <w:tc>
          <w:tcPr>
            <w:tcW w:w="2130" w:type="dxa"/>
            <w:tcBorders>
              <w:top w:val="nil"/>
              <w:left w:val="nil"/>
              <w:bottom w:val="single" w:sz="8" w:space="0" w:color="auto"/>
              <w:right w:val="single" w:sz="8" w:space="0" w:color="auto"/>
            </w:tcBorders>
            <w:shd w:val="clear" w:color="auto" w:fill="auto"/>
            <w:vAlign w:val="center"/>
            <w:hideMark/>
          </w:tcPr>
          <w:p w14:paraId="4CC3D5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3 800 000,00</w:t>
            </w:r>
          </w:p>
        </w:tc>
        <w:tc>
          <w:tcPr>
            <w:tcW w:w="36" w:type="dxa"/>
            <w:vAlign w:val="center"/>
            <w:hideMark/>
          </w:tcPr>
          <w:p w14:paraId="0FDFC53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1EDEC67"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F32D7D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B.II.3.a.-</w:t>
            </w:r>
          </w:p>
        </w:tc>
        <w:tc>
          <w:tcPr>
            <w:tcW w:w="2156" w:type="dxa"/>
            <w:tcBorders>
              <w:top w:val="nil"/>
              <w:left w:val="nil"/>
              <w:bottom w:val="single" w:sz="8" w:space="0" w:color="auto"/>
              <w:right w:val="single" w:sz="8" w:space="0" w:color="auto"/>
            </w:tcBorders>
            <w:shd w:val="clear" w:color="auto" w:fill="auto"/>
            <w:vAlign w:val="center"/>
            <w:hideMark/>
          </w:tcPr>
          <w:p w14:paraId="2C8F1C8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32" w:type="dxa"/>
            <w:tcBorders>
              <w:top w:val="nil"/>
              <w:left w:val="nil"/>
              <w:bottom w:val="single" w:sz="8" w:space="0" w:color="auto"/>
              <w:right w:val="single" w:sz="8" w:space="0" w:color="auto"/>
            </w:tcBorders>
            <w:shd w:val="clear" w:color="auto" w:fill="auto"/>
            <w:vAlign w:val="center"/>
            <w:hideMark/>
          </w:tcPr>
          <w:p w14:paraId="09468DE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3 300 000,00</w:t>
            </w:r>
          </w:p>
        </w:tc>
        <w:tc>
          <w:tcPr>
            <w:tcW w:w="2130" w:type="dxa"/>
            <w:tcBorders>
              <w:top w:val="nil"/>
              <w:left w:val="nil"/>
              <w:bottom w:val="single" w:sz="8" w:space="0" w:color="auto"/>
              <w:right w:val="single" w:sz="8" w:space="0" w:color="auto"/>
            </w:tcBorders>
            <w:shd w:val="clear" w:color="auto" w:fill="auto"/>
            <w:vAlign w:val="center"/>
            <w:hideMark/>
          </w:tcPr>
          <w:p w14:paraId="72BEEAD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3 350 000,00</w:t>
            </w:r>
          </w:p>
        </w:tc>
        <w:tc>
          <w:tcPr>
            <w:tcW w:w="2130" w:type="dxa"/>
            <w:tcBorders>
              <w:top w:val="nil"/>
              <w:left w:val="nil"/>
              <w:bottom w:val="single" w:sz="8" w:space="0" w:color="auto"/>
              <w:right w:val="single" w:sz="8" w:space="0" w:color="auto"/>
            </w:tcBorders>
            <w:shd w:val="clear" w:color="auto" w:fill="auto"/>
            <w:vAlign w:val="center"/>
            <w:hideMark/>
          </w:tcPr>
          <w:p w14:paraId="21438FE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3 800 000,00</w:t>
            </w:r>
          </w:p>
        </w:tc>
        <w:tc>
          <w:tcPr>
            <w:tcW w:w="36" w:type="dxa"/>
            <w:vAlign w:val="center"/>
            <w:hideMark/>
          </w:tcPr>
          <w:p w14:paraId="37F52089"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4A149F7"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F9313F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B.II.3.a.-</w:t>
            </w:r>
          </w:p>
        </w:tc>
        <w:tc>
          <w:tcPr>
            <w:tcW w:w="2156" w:type="dxa"/>
            <w:tcBorders>
              <w:top w:val="nil"/>
              <w:left w:val="nil"/>
              <w:bottom w:val="single" w:sz="8" w:space="0" w:color="auto"/>
              <w:right w:val="single" w:sz="8" w:space="0" w:color="auto"/>
            </w:tcBorders>
            <w:shd w:val="clear" w:color="auto" w:fill="auto"/>
            <w:vAlign w:val="center"/>
            <w:hideMark/>
          </w:tcPr>
          <w:p w14:paraId="3870ED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32" w:type="dxa"/>
            <w:tcBorders>
              <w:top w:val="nil"/>
              <w:left w:val="nil"/>
              <w:bottom w:val="single" w:sz="8" w:space="0" w:color="auto"/>
              <w:right w:val="single" w:sz="8" w:space="0" w:color="auto"/>
            </w:tcBorders>
            <w:shd w:val="clear" w:color="auto" w:fill="auto"/>
            <w:vAlign w:val="center"/>
            <w:hideMark/>
          </w:tcPr>
          <w:p w14:paraId="5F4C7A4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3FB4DA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ADE0BE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237B84C5"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E32009F" w14:textId="77777777" w:rsidTr="00906F48">
        <w:trPr>
          <w:trHeight w:val="256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A9F5EB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B.II.3.b.</w:t>
            </w:r>
          </w:p>
        </w:tc>
        <w:tc>
          <w:tcPr>
            <w:tcW w:w="2156" w:type="dxa"/>
            <w:tcBorders>
              <w:top w:val="nil"/>
              <w:left w:val="nil"/>
              <w:bottom w:val="single" w:sz="8" w:space="0" w:color="auto"/>
              <w:right w:val="single" w:sz="8" w:space="0" w:color="auto"/>
            </w:tcBorders>
            <w:shd w:val="clear" w:color="auto" w:fill="auto"/>
            <w:vAlign w:val="center"/>
            <w:hideMark/>
          </w:tcPr>
          <w:p w14:paraId="5F02B3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podatków, dotacji, ceł, ubezpieczeń społecznych  i zdrowotnych oraz innych tytułów publicznoprawnych</w:t>
            </w:r>
          </w:p>
        </w:tc>
        <w:tc>
          <w:tcPr>
            <w:tcW w:w="1732" w:type="dxa"/>
            <w:tcBorders>
              <w:top w:val="nil"/>
              <w:left w:val="nil"/>
              <w:bottom w:val="single" w:sz="8" w:space="0" w:color="auto"/>
              <w:right w:val="single" w:sz="8" w:space="0" w:color="auto"/>
            </w:tcBorders>
            <w:shd w:val="clear" w:color="auto" w:fill="auto"/>
            <w:vAlign w:val="center"/>
            <w:hideMark/>
          </w:tcPr>
          <w:p w14:paraId="05A5A31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E6E3E1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6519E1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242A19F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1BA74397" w14:textId="77777777" w:rsidTr="00906F48">
        <w:trPr>
          <w:trHeight w:val="31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F4EDE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B.II.3.c.</w:t>
            </w:r>
          </w:p>
        </w:tc>
        <w:tc>
          <w:tcPr>
            <w:tcW w:w="2156" w:type="dxa"/>
            <w:tcBorders>
              <w:top w:val="nil"/>
              <w:left w:val="nil"/>
              <w:bottom w:val="single" w:sz="8" w:space="0" w:color="auto"/>
              <w:right w:val="single" w:sz="8" w:space="0" w:color="auto"/>
            </w:tcBorders>
            <w:shd w:val="clear" w:color="auto" w:fill="auto"/>
            <w:vAlign w:val="center"/>
            <w:hideMark/>
          </w:tcPr>
          <w:p w14:paraId="6FB32AA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32" w:type="dxa"/>
            <w:tcBorders>
              <w:top w:val="nil"/>
              <w:left w:val="nil"/>
              <w:bottom w:val="single" w:sz="8" w:space="0" w:color="auto"/>
              <w:right w:val="single" w:sz="8" w:space="0" w:color="auto"/>
            </w:tcBorders>
            <w:shd w:val="clear" w:color="auto" w:fill="auto"/>
            <w:vAlign w:val="center"/>
            <w:hideMark/>
          </w:tcPr>
          <w:p w14:paraId="47774997"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90 000,00</w:t>
            </w:r>
          </w:p>
        </w:tc>
        <w:tc>
          <w:tcPr>
            <w:tcW w:w="2130" w:type="dxa"/>
            <w:tcBorders>
              <w:top w:val="nil"/>
              <w:left w:val="nil"/>
              <w:bottom w:val="single" w:sz="8" w:space="0" w:color="auto"/>
              <w:right w:val="single" w:sz="8" w:space="0" w:color="auto"/>
            </w:tcBorders>
            <w:shd w:val="clear" w:color="auto" w:fill="auto"/>
            <w:vAlign w:val="center"/>
            <w:hideMark/>
          </w:tcPr>
          <w:p w14:paraId="464EFD4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80 000,00</w:t>
            </w:r>
          </w:p>
        </w:tc>
        <w:tc>
          <w:tcPr>
            <w:tcW w:w="2130" w:type="dxa"/>
            <w:tcBorders>
              <w:top w:val="nil"/>
              <w:left w:val="nil"/>
              <w:bottom w:val="single" w:sz="8" w:space="0" w:color="auto"/>
              <w:right w:val="single" w:sz="8" w:space="0" w:color="auto"/>
            </w:tcBorders>
            <w:shd w:val="clear" w:color="auto" w:fill="auto"/>
            <w:vAlign w:val="center"/>
            <w:hideMark/>
          </w:tcPr>
          <w:p w14:paraId="5F582579"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80 000,00</w:t>
            </w:r>
          </w:p>
        </w:tc>
        <w:tc>
          <w:tcPr>
            <w:tcW w:w="36" w:type="dxa"/>
            <w:vAlign w:val="center"/>
            <w:hideMark/>
          </w:tcPr>
          <w:p w14:paraId="53A27D2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6498F41"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AD8C1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B.II.3.d.</w:t>
            </w:r>
          </w:p>
        </w:tc>
        <w:tc>
          <w:tcPr>
            <w:tcW w:w="2156" w:type="dxa"/>
            <w:tcBorders>
              <w:top w:val="nil"/>
              <w:left w:val="nil"/>
              <w:bottom w:val="single" w:sz="8" w:space="0" w:color="auto"/>
              <w:right w:val="single" w:sz="8" w:space="0" w:color="auto"/>
            </w:tcBorders>
            <w:shd w:val="clear" w:color="auto" w:fill="auto"/>
            <w:vAlign w:val="center"/>
            <w:hideMark/>
          </w:tcPr>
          <w:p w14:paraId="687907C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dochodzone na drodze sądowej</w:t>
            </w:r>
          </w:p>
        </w:tc>
        <w:tc>
          <w:tcPr>
            <w:tcW w:w="1732" w:type="dxa"/>
            <w:tcBorders>
              <w:top w:val="nil"/>
              <w:left w:val="nil"/>
              <w:bottom w:val="single" w:sz="8" w:space="0" w:color="auto"/>
              <w:right w:val="single" w:sz="8" w:space="0" w:color="auto"/>
            </w:tcBorders>
            <w:shd w:val="clear" w:color="auto" w:fill="auto"/>
            <w:vAlign w:val="center"/>
            <w:hideMark/>
          </w:tcPr>
          <w:p w14:paraId="062C9BD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86337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149DDA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9C7EFDB"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DC0019E" w14:textId="77777777" w:rsidTr="00906F48">
        <w:trPr>
          <w:trHeight w:val="780"/>
        </w:trPr>
        <w:tc>
          <w:tcPr>
            <w:tcW w:w="1516" w:type="dxa"/>
            <w:tcBorders>
              <w:top w:val="nil"/>
              <w:left w:val="single" w:sz="8" w:space="0" w:color="auto"/>
              <w:bottom w:val="single" w:sz="8" w:space="0" w:color="auto"/>
              <w:right w:val="single" w:sz="8" w:space="0" w:color="auto"/>
            </w:tcBorders>
            <w:shd w:val="clear" w:color="000000" w:fill="FFFFFF"/>
            <w:vAlign w:val="center"/>
            <w:hideMark/>
          </w:tcPr>
          <w:p w14:paraId="2F09A3A1"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B.III.</w:t>
            </w:r>
          </w:p>
        </w:tc>
        <w:tc>
          <w:tcPr>
            <w:tcW w:w="2156" w:type="dxa"/>
            <w:tcBorders>
              <w:top w:val="nil"/>
              <w:left w:val="nil"/>
              <w:bottom w:val="single" w:sz="8" w:space="0" w:color="auto"/>
              <w:right w:val="single" w:sz="8" w:space="0" w:color="auto"/>
            </w:tcBorders>
            <w:shd w:val="clear" w:color="000000" w:fill="FFFFFF"/>
            <w:vAlign w:val="center"/>
            <w:hideMark/>
          </w:tcPr>
          <w:p w14:paraId="1FD72A5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Inwestycje krótkoterminowe</w:t>
            </w:r>
          </w:p>
        </w:tc>
        <w:tc>
          <w:tcPr>
            <w:tcW w:w="1732" w:type="dxa"/>
            <w:tcBorders>
              <w:top w:val="nil"/>
              <w:left w:val="nil"/>
              <w:bottom w:val="single" w:sz="8" w:space="0" w:color="auto"/>
              <w:right w:val="single" w:sz="8" w:space="0" w:color="auto"/>
            </w:tcBorders>
            <w:shd w:val="clear" w:color="auto" w:fill="auto"/>
            <w:vAlign w:val="center"/>
            <w:hideMark/>
          </w:tcPr>
          <w:p w14:paraId="1C80E13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50 000,00</w:t>
            </w:r>
          </w:p>
        </w:tc>
        <w:tc>
          <w:tcPr>
            <w:tcW w:w="2130" w:type="dxa"/>
            <w:tcBorders>
              <w:top w:val="nil"/>
              <w:left w:val="nil"/>
              <w:bottom w:val="single" w:sz="8" w:space="0" w:color="auto"/>
              <w:right w:val="single" w:sz="8" w:space="0" w:color="auto"/>
            </w:tcBorders>
            <w:shd w:val="clear" w:color="auto" w:fill="auto"/>
            <w:vAlign w:val="center"/>
            <w:hideMark/>
          </w:tcPr>
          <w:p w14:paraId="174CD40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60 000,00</w:t>
            </w:r>
          </w:p>
        </w:tc>
        <w:tc>
          <w:tcPr>
            <w:tcW w:w="2130" w:type="dxa"/>
            <w:tcBorders>
              <w:top w:val="nil"/>
              <w:left w:val="nil"/>
              <w:bottom w:val="single" w:sz="8" w:space="0" w:color="auto"/>
              <w:right w:val="single" w:sz="8" w:space="0" w:color="auto"/>
            </w:tcBorders>
            <w:shd w:val="clear" w:color="auto" w:fill="auto"/>
            <w:vAlign w:val="center"/>
            <w:hideMark/>
          </w:tcPr>
          <w:p w14:paraId="796DAF61"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80 000,00</w:t>
            </w:r>
          </w:p>
        </w:tc>
        <w:tc>
          <w:tcPr>
            <w:tcW w:w="36" w:type="dxa"/>
            <w:vAlign w:val="center"/>
            <w:hideMark/>
          </w:tcPr>
          <w:p w14:paraId="7FEE22F5"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16D1FF5"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A0B0AE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w:t>
            </w:r>
          </w:p>
        </w:tc>
        <w:tc>
          <w:tcPr>
            <w:tcW w:w="2156" w:type="dxa"/>
            <w:tcBorders>
              <w:top w:val="nil"/>
              <w:left w:val="nil"/>
              <w:bottom w:val="single" w:sz="8" w:space="0" w:color="auto"/>
              <w:right w:val="single" w:sz="8" w:space="0" w:color="auto"/>
            </w:tcBorders>
            <w:shd w:val="clear" w:color="auto" w:fill="auto"/>
            <w:vAlign w:val="center"/>
            <w:hideMark/>
          </w:tcPr>
          <w:p w14:paraId="14AE072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Krótkoterminowe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7356194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50 000,00</w:t>
            </w:r>
          </w:p>
        </w:tc>
        <w:tc>
          <w:tcPr>
            <w:tcW w:w="2130" w:type="dxa"/>
            <w:tcBorders>
              <w:top w:val="nil"/>
              <w:left w:val="nil"/>
              <w:bottom w:val="single" w:sz="8" w:space="0" w:color="auto"/>
              <w:right w:val="single" w:sz="8" w:space="0" w:color="auto"/>
            </w:tcBorders>
            <w:shd w:val="clear" w:color="auto" w:fill="auto"/>
            <w:vAlign w:val="center"/>
            <w:hideMark/>
          </w:tcPr>
          <w:p w14:paraId="49154B2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60 000,00</w:t>
            </w:r>
          </w:p>
        </w:tc>
        <w:tc>
          <w:tcPr>
            <w:tcW w:w="2130" w:type="dxa"/>
            <w:tcBorders>
              <w:top w:val="nil"/>
              <w:left w:val="nil"/>
              <w:bottom w:val="single" w:sz="8" w:space="0" w:color="auto"/>
              <w:right w:val="single" w:sz="8" w:space="0" w:color="auto"/>
            </w:tcBorders>
            <w:shd w:val="clear" w:color="auto" w:fill="auto"/>
            <w:vAlign w:val="center"/>
            <w:hideMark/>
          </w:tcPr>
          <w:p w14:paraId="50F2042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80 000,00</w:t>
            </w:r>
          </w:p>
        </w:tc>
        <w:tc>
          <w:tcPr>
            <w:tcW w:w="36" w:type="dxa"/>
            <w:vAlign w:val="center"/>
            <w:hideMark/>
          </w:tcPr>
          <w:p w14:paraId="6F95D083"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01D1B84D"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26FE94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56" w:type="dxa"/>
            <w:tcBorders>
              <w:top w:val="nil"/>
              <w:left w:val="nil"/>
              <w:bottom w:val="single" w:sz="8" w:space="0" w:color="auto"/>
              <w:right w:val="single" w:sz="8" w:space="0" w:color="auto"/>
            </w:tcBorders>
            <w:shd w:val="clear" w:color="auto" w:fill="auto"/>
            <w:vAlign w:val="center"/>
            <w:hideMark/>
          </w:tcPr>
          <w:p w14:paraId="0A54F2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jednostkach powiązanych</w:t>
            </w:r>
          </w:p>
        </w:tc>
        <w:tc>
          <w:tcPr>
            <w:tcW w:w="1732" w:type="dxa"/>
            <w:tcBorders>
              <w:top w:val="nil"/>
              <w:left w:val="nil"/>
              <w:bottom w:val="single" w:sz="8" w:space="0" w:color="auto"/>
              <w:right w:val="single" w:sz="8" w:space="0" w:color="auto"/>
            </w:tcBorders>
            <w:shd w:val="clear" w:color="auto" w:fill="auto"/>
            <w:vAlign w:val="center"/>
            <w:hideMark/>
          </w:tcPr>
          <w:p w14:paraId="77DAA63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A26B8D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A8CC5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658A32F4"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379A7806"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598068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B.III.1.a.-</w:t>
            </w:r>
          </w:p>
        </w:tc>
        <w:tc>
          <w:tcPr>
            <w:tcW w:w="2156" w:type="dxa"/>
            <w:tcBorders>
              <w:top w:val="nil"/>
              <w:left w:val="nil"/>
              <w:bottom w:val="single" w:sz="8" w:space="0" w:color="auto"/>
              <w:right w:val="single" w:sz="8" w:space="0" w:color="auto"/>
            </w:tcBorders>
            <w:shd w:val="clear" w:color="auto" w:fill="auto"/>
            <w:vAlign w:val="center"/>
            <w:hideMark/>
          </w:tcPr>
          <w:p w14:paraId="143FA8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32" w:type="dxa"/>
            <w:tcBorders>
              <w:top w:val="nil"/>
              <w:left w:val="nil"/>
              <w:bottom w:val="single" w:sz="8" w:space="0" w:color="auto"/>
              <w:right w:val="single" w:sz="8" w:space="0" w:color="auto"/>
            </w:tcBorders>
            <w:shd w:val="clear" w:color="auto" w:fill="auto"/>
            <w:vAlign w:val="center"/>
            <w:hideMark/>
          </w:tcPr>
          <w:p w14:paraId="692411E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7D09EC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968A89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F187057"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7B539E7"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3BFB3D6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56" w:type="dxa"/>
            <w:tcBorders>
              <w:top w:val="nil"/>
              <w:left w:val="nil"/>
              <w:bottom w:val="single" w:sz="8" w:space="0" w:color="auto"/>
              <w:right w:val="single" w:sz="8" w:space="0" w:color="auto"/>
            </w:tcBorders>
            <w:shd w:val="clear" w:color="auto" w:fill="auto"/>
            <w:vAlign w:val="center"/>
            <w:hideMark/>
          </w:tcPr>
          <w:p w14:paraId="307017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32" w:type="dxa"/>
            <w:tcBorders>
              <w:top w:val="nil"/>
              <w:left w:val="nil"/>
              <w:bottom w:val="single" w:sz="8" w:space="0" w:color="auto"/>
              <w:right w:val="single" w:sz="8" w:space="0" w:color="auto"/>
            </w:tcBorders>
            <w:shd w:val="clear" w:color="auto" w:fill="auto"/>
            <w:vAlign w:val="center"/>
            <w:hideMark/>
          </w:tcPr>
          <w:p w14:paraId="573E829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425A3B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30685C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2C4755D9"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129FE6EF"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E7B3C1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56" w:type="dxa"/>
            <w:tcBorders>
              <w:top w:val="nil"/>
              <w:left w:val="nil"/>
              <w:bottom w:val="single" w:sz="8" w:space="0" w:color="auto"/>
              <w:right w:val="single" w:sz="8" w:space="0" w:color="auto"/>
            </w:tcBorders>
            <w:shd w:val="clear" w:color="auto" w:fill="auto"/>
            <w:vAlign w:val="center"/>
            <w:hideMark/>
          </w:tcPr>
          <w:p w14:paraId="28BE25A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32" w:type="dxa"/>
            <w:tcBorders>
              <w:top w:val="nil"/>
              <w:left w:val="nil"/>
              <w:bottom w:val="single" w:sz="8" w:space="0" w:color="auto"/>
              <w:right w:val="single" w:sz="8" w:space="0" w:color="auto"/>
            </w:tcBorders>
            <w:shd w:val="clear" w:color="auto" w:fill="auto"/>
            <w:vAlign w:val="center"/>
            <w:hideMark/>
          </w:tcPr>
          <w:p w14:paraId="21B6B6C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98EE4F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9F25D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6202706D"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31209DE8" w14:textId="77777777" w:rsidTr="00906F48">
        <w:trPr>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B6B10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56" w:type="dxa"/>
            <w:tcBorders>
              <w:top w:val="nil"/>
              <w:left w:val="nil"/>
              <w:bottom w:val="single" w:sz="8" w:space="0" w:color="auto"/>
              <w:right w:val="single" w:sz="8" w:space="0" w:color="auto"/>
            </w:tcBorders>
            <w:shd w:val="clear" w:color="auto" w:fill="auto"/>
            <w:vAlign w:val="center"/>
            <w:hideMark/>
          </w:tcPr>
          <w:p w14:paraId="756208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krótkoterminowe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4CFB6D1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493EA0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986325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4C45E9A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E9E55C1"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B568D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56" w:type="dxa"/>
            <w:tcBorders>
              <w:top w:val="nil"/>
              <w:left w:val="nil"/>
              <w:bottom w:val="single" w:sz="8" w:space="0" w:color="auto"/>
              <w:right w:val="single" w:sz="8" w:space="0" w:color="auto"/>
            </w:tcBorders>
            <w:shd w:val="clear" w:color="auto" w:fill="auto"/>
            <w:vAlign w:val="center"/>
            <w:hideMark/>
          </w:tcPr>
          <w:p w14:paraId="5284CDE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pozostałych jednostkach</w:t>
            </w:r>
          </w:p>
        </w:tc>
        <w:tc>
          <w:tcPr>
            <w:tcW w:w="1732" w:type="dxa"/>
            <w:tcBorders>
              <w:top w:val="nil"/>
              <w:left w:val="nil"/>
              <w:bottom w:val="single" w:sz="8" w:space="0" w:color="auto"/>
              <w:right w:val="single" w:sz="8" w:space="0" w:color="auto"/>
            </w:tcBorders>
            <w:shd w:val="clear" w:color="auto" w:fill="auto"/>
            <w:vAlign w:val="center"/>
            <w:hideMark/>
          </w:tcPr>
          <w:p w14:paraId="4BDC046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2A132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D122E8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D909484"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E563EEB"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B4CCA1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56" w:type="dxa"/>
            <w:tcBorders>
              <w:top w:val="nil"/>
              <w:left w:val="nil"/>
              <w:bottom w:val="single" w:sz="8" w:space="0" w:color="auto"/>
              <w:right w:val="single" w:sz="8" w:space="0" w:color="auto"/>
            </w:tcBorders>
            <w:shd w:val="clear" w:color="auto" w:fill="auto"/>
            <w:vAlign w:val="center"/>
            <w:hideMark/>
          </w:tcPr>
          <w:p w14:paraId="6BF1D3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32" w:type="dxa"/>
            <w:tcBorders>
              <w:top w:val="nil"/>
              <w:left w:val="nil"/>
              <w:bottom w:val="single" w:sz="8" w:space="0" w:color="auto"/>
              <w:right w:val="single" w:sz="8" w:space="0" w:color="auto"/>
            </w:tcBorders>
            <w:shd w:val="clear" w:color="auto" w:fill="auto"/>
            <w:vAlign w:val="center"/>
            <w:hideMark/>
          </w:tcPr>
          <w:p w14:paraId="3751C52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7060D9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E4517B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BAB1BCC"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1F2CD6A"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DB8A7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56" w:type="dxa"/>
            <w:tcBorders>
              <w:top w:val="nil"/>
              <w:left w:val="nil"/>
              <w:bottom w:val="single" w:sz="8" w:space="0" w:color="auto"/>
              <w:right w:val="single" w:sz="8" w:space="0" w:color="auto"/>
            </w:tcBorders>
            <w:shd w:val="clear" w:color="auto" w:fill="auto"/>
            <w:vAlign w:val="center"/>
            <w:hideMark/>
          </w:tcPr>
          <w:p w14:paraId="0FEF28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32" w:type="dxa"/>
            <w:tcBorders>
              <w:top w:val="nil"/>
              <w:left w:val="nil"/>
              <w:bottom w:val="single" w:sz="8" w:space="0" w:color="auto"/>
              <w:right w:val="single" w:sz="8" w:space="0" w:color="auto"/>
            </w:tcBorders>
            <w:shd w:val="clear" w:color="auto" w:fill="auto"/>
            <w:vAlign w:val="center"/>
            <w:hideMark/>
          </w:tcPr>
          <w:p w14:paraId="64FFD5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59ECA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7D0D60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21AF022A"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0C1C79A"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ABF324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56" w:type="dxa"/>
            <w:tcBorders>
              <w:top w:val="nil"/>
              <w:left w:val="nil"/>
              <w:bottom w:val="single" w:sz="8" w:space="0" w:color="auto"/>
              <w:right w:val="single" w:sz="8" w:space="0" w:color="auto"/>
            </w:tcBorders>
            <w:shd w:val="clear" w:color="auto" w:fill="auto"/>
            <w:vAlign w:val="center"/>
            <w:hideMark/>
          </w:tcPr>
          <w:p w14:paraId="43F88E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32" w:type="dxa"/>
            <w:tcBorders>
              <w:top w:val="nil"/>
              <w:left w:val="nil"/>
              <w:bottom w:val="single" w:sz="8" w:space="0" w:color="auto"/>
              <w:right w:val="single" w:sz="8" w:space="0" w:color="auto"/>
            </w:tcBorders>
            <w:shd w:val="clear" w:color="auto" w:fill="auto"/>
            <w:vAlign w:val="center"/>
            <w:hideMark/>
          </w:tcPr>
          <w:p w14:paraId="31782F3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6AB8F6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4C32D3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5EAAFD3C"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57919A0" w14:textId="77777777" w:rsidTr="00906F48">
        <w:trPr>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051352D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56" w:type="dxa"/>
            <w:tcBorders>
              <w:top w:val="nil"/>
              <w:left w:val="nil"/>
              <w:bottom w:val="single" w:sz="8" w:space="0" w:color="auto"/>
              <w:right w:val="single" w:sz="8" w:space="0" w:color="auto"/>
            </w:tcBorders>
            <w:shd w:val="clear" w:color="auto" w:fill="auto"/>
            <w:vAlign w:val="center"/>
            <w:hideMark/>
          </w:tcPr>
          <w:p w14:paraId="515E9BA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krótkoterminowe aktywa finansowe</w:t>
            </w:r>
          </w:p>
        </w:tc>
        <w:tc>
          <w:tcPr>
            <w:tcW w:w="1732" w:type="dxa"/>
            <w:tcBorders>
              <w:top w:val="nil"/>
              <w:left w:val="nil"/>
              <w:bottom w:val="single" w:sz="8" w:space="0" w:color="auto"/>
              <w:right w:val="single" w:sz="8" w:space="0" w:color="auto"/>
            </w:tcBorders>
            <w:shd w:val="clear" w:color="auto" w:fill="auto"/>
            <w:vAlign w:val="center"/>
            <w:hideMark/>
          </w:tcPr>
          <w:p w14:paraId="358779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295266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9234E3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3A7C1687"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0354306" w14:textId="77777777" w:rsidTr="00906F48">
        <w:trPr>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1D8EE2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B.III.1.c.</w:t>
            </w:r>
          </w:p>
        </w:tc>
        <w:tc>
          <w:tcPr>
            <w:tcW w:w="2156" w:type="dxa"/>
            <w:tcBorders>
              <w:top w:val="nil"/>
              <w:left w:val="nil"/>
              <w:bottom w:val="single" w:sz="8" w:space="0" w:color="auto"/>
              <w:right w:val="single" w:sz="8" w:space="0" w:color="auto"/>
            </w:tcBorders>
            <w:shd w:val="clear" w:color="auto" w:fill="auto"/>
            <w:vAlign w:val="center"/>
            <w:hideMark/>
          </w:tcPr>
          <w:p w14:paraId="0A34747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środki pieniężne i inne aktywa pieniężne</w:t>
            </w:r>
          </w:p>
        </w:tc>
        <w:tc>
          <w:tcPr>
            <w:tcW w:w="1732" w:type="dxa"/>
            <w:tcBorders>
              <w:top w:val="nil"/>
              <w:left w:val="nil"/>
              <w:bottom w:val="single" w:sz="8" w:space="0" w:color="auto"/>
              <w:right w:val="single" w:sz="8" w:space="0" w:color="auto"/>
            </w:tcBorders>
            <w:shd w:val="clear" w:color="auto" w:fill="auto"/>
            <w:vAlign w:val="center"/>
            <w:hideMark/>
          </w:tcPr>
          <w:p w14:paraId="19655C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50 000,00</w:t>
            </w:r>
          </w:p>
        </w:tc>
        <w:tc>
          <w:tcPr>
            <w:tcW w:w="2130" w:type="dxa"/>
            <w:tcBorders>
              <w:top w:val="nil"/>
              <w:left w:val="nil"/>
              <w:bottom w:val="single" w:sz="8" w:space="0" w:color="auto"/>
              <w:right w:val="single" w:sz="8" w:space="0" w:color="auto"/>
            </w:tcBorders>
            <w:shd w:val="clear" w:color="auto" w:fill="auto"/>
            <w:vAlign w:val="center"/>
            <w:hideMark/>
          </w:tcPr>
          <w:p w14:paraId="60915E6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60 000,00</w:t>
            </w:r>
          </w:p>
        </w:tc>
        <w:tc>
          <w:tcPr>
            <w:tcW w:w="2130" w:type="dxa"/>
            <w:tcBorders>
              <w:top w:val="nil"/>
              <w:left w:val="nil"/>
              <w:bottom w:val="single" w:sz="8" w:space="0" w:color="auto"/>
              <w:right w:val="single" w:sz="8" w:space="0" w:color="auto"/>
            </w:tcBorders>
            <w:shd w:val="clear" w:color="auto" w:fill="auto"/>
            <w:vAlign w:val="center"/>
            <w:hideMark/>
          </w:tcPr>
          <w:p w14:paraId="43DFEDD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80 000,00</w:t>
            </w:r>
          </w:p>
        </w:tc>
        <w:tc>
          <w:tcPr>
            <w:tcW w:w="36" w:type="dxa"/>
            <w:vAlign w:val="center"/>
            <w:hideMark/>
          </w:tcPr>
          <w:p w14:paraId="00B30E39"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2AF695E" w14:textId="77777777" w:rsidTr="00906F48">
        <w:trPr>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6591E5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B.III.1.c.-</w:t>
            </w:r>
          </w:p>
        </w:tc>
        <w:tc>
          <w:tcPr>
            <w:tcW w:w="2156" w:type="dxa"/>
            <w:tcBorders>
              <w:top w:val="nil"/>
              <w:left w:val="nil"/>
              <w:bottom w:val="single" w:sz="8" w:space="0" w:color="auto"/>
              <w:right w:val="single" w:sz="8" w:space="0" w:color="auto"/>
            </w:tcBorders>
            <w:shd w:val="clear" w:color="auto" w:fill="auto"/>
            <w:vAlign w:val="center"/>
            <w:hideMark/>
          </w:tcPr>
          <w:p w14:paraId="63EEAB6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środki pieniężne w kasie i na rachunkach</w:t>
            </w:r>
          </w:p>
        </w:tc>
        <w:tc>
          <w:tcPr>
            <w:tcW w:w="1732" w:type="dxa"/>
            <w:tcBorders>
              <w:top w:val="nil"/>
              <w:left w:val="nil"/>
              <w:bottom w:val="single" w:sz="8" w:space="0" w:color="auto"/>
              <w:right w:val="single" w:sz="8" w:space="0" w:color="auto"/>
            </w:tcBorders>
            <w:shd w:val="clear" w:color="auto" w:fill="auto"/>
            <w:vAlign w:val="center"/>
            <w:hideMark/>
          </w:tcPr>
          <w:p w14:paraId="5633660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50 000,00</w:t>
            </w:r>
          </w:p>
        </w:tc>
        <w:tc>
          <w:tcPr>
            <w:tcW w:w="2130" w:type="dxa"/>
            <w:tcBorders>
              <w:top w:val="nil"/>
              <w:left w:val="nil"/>
              <w:bottom w:val="single" w:sz="8" w:space="0" w:color="auto"/>
              <w:right w:val="single" w:sz="8" w:space="0" w:color="auto"/>
            </w:tcBorders>
            <w:shd w:val="clear" w:color="auto" w:fill="auto"/>
            <w:vAlign w:val="center"/>
            <w:hideMark/>
          </w:tcPr>
          <w:p w14:paraId="0CDE67A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60 000,00</w:t>
            </w:r>
          </w:p>
        </w:tc>
        <w:tc>
          <w:tcPr>
            <w:tcW w:w="2130" w:type="dxa"/>
            <w:tcBorders>
              <w:top w:val="nil"/>
              <w:left w:val="nil"/>
              <w:bottom w:val="single" w:sz="8" w:space="0" w:color="auto"/>
              <w:right w:val="single" w:sz="8" w:space="0" w:color="auto"/>
            </w:tcBorders>
            <w:shd w:val="clear" w:color="auto" w:fill="auto"/>
            <w:vAlign w:val="center"/>
            <w:hideMark/>
          </w:tcPr>
          <w:p w14:paraId="4B3A1E5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80 000,00</w:t>
            </w:r>
          </w:p>
        </w:tc>
        <w:tc>
          <w:tcPr>
            <w:tcW w:w="36" w:type="dxa"/>
            <w:vAlign w:val="center"/>
            <w:hideMark/>
          </w:tcPr>
          <w:p w14:paraId="0FABF3AA"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D524879"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E6A263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B.III.1.c.-</w:t>
            </w:r>
          </w:p>
        </w:tc>
        <w:tc>
          <w:tcPr>
            <w:tcW w:w="2156" w:type="dxa"/>
            <w:tcBorders>
              <w:top w:val="nil"/>
              <w:left w:val="nil"/>
              <w:bottom w:val="single" w:sz="8" w:space="0" w:color="auto"/>
              <w:right w:val="single" w:sz="8" w:space="0" w:color="auto"/>
            </w:tcBorders>
            <w:shd w:val="clear" w:color="auto" w:fill="auto"/>
            <w:vAlign w:val="center"/>
            <w:hideMark/>
          </w:tcPr>
          <w:p w14:paraId="394921D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środki pieniężne</w:t>
            </w:r>
          </w:p>
        </w:tc>
        <w:tc>
          <w:tcPr>
            <w:tcW w:w="1732" w:type="dxa"/>
            <w:tcBorders>
              <w:top w:val="nil"/>
              <w:left w:val="nil"/>
              <w:bottom w:val="single" w:sz="8" w:space="0" w:color="auto"/>
              <w:right w:val="single" w:sz="8" w:space="0" w:color="auto"/>
            </w:tcBorders>
            <w:shd w:val="clear" w:color="auto" w:fill="auto"/>
            <w:vAlign w:val="center"/>
            <w:hideMark/>
          </w:tcPr>
          <w:p w14:paraId="45A3F35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DBC5B2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E02BB1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49D14BB5"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58BD388"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8B3557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B.III.1.c.-</w:t>
            </w:r>
          </w:p>
        </w:tc>
        <w:tc>
          <w:tcPr>
            <w:tcW w:w="2156" w:type="dxa"/>
            <w:tcBorders>
              <w:top w:val="nil"/>
              <w:left w:val="nil"/>
              <w:bottom w:val="single" w:sz="8" w:space="0" w:color="auto"/>
              <w:right w:val="single" w:sz="8" w:space="0" w:color="auto"/>
            </w:tcBorders>
            <w:shd w:val="clear" w:color="auto" w:fill="auto"/>
            <w:vAlign w:val="center"/>
            <w:hideMark/>
          </w:tcPr>
          <w:p w14:paraId="72E2E52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aktywa pieniężne</w:t>
            </w:r>
          </w:p>
        </w:tc>
        <w:tc>
          <w:tcPr>
            <w:tcW w:w="1732" w:type="dxa"/>
            <w:tcBorders>
              <w:top w:val="nil"/>
              <w:left w:val="nil"/>
              <w:bottom w:val="single" w:sz="8" w:space="0" w:color="auto"/>
              <w:right w:val="single" w:sz="8" w:space="0" w:color="auto"/>
            </w:tcBorders>
            <w:shd w:val="clear" w:color="auto" w:fill="auto"/>
            <w:vAlign w:val="center"/>
            <w:hideMark/>
          </w:tcPr>
          <w:p w14:paraId="057F41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DF8D8F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4EA7C20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14CBB282"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90EE47A" w14:textId="77777777" w:rsidTr="00906F48">
        <w:trPr>
          <w:trHeight w:val="780"/>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03EEBF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w:t>
            </w:r>
          </w:p>
        </w:tc>
        <w:tc>
          <w:tcPr>
            <w:tcW w:w="2156" w:type="dxa"/>
            <w:tcBorders>
              <w:top w:val="nil"/>
              <w:left w:val="nil"/>
              <w:bottom w:val="single" w:sz="8" w:space="0" w:color="auto"/>
              <w:right w:val="single" w:sz="8" w:space="0" w:color="auto"/>
            </w:tcBorders>
            <w:shd w:val="clear" w:color="auto" w:fill="auto"/>
            <w:vAlign w:val="center"/>
            <w:hideMark/>
          </w:tcPr>
          <w:p w14:paraId="48F00BB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inwestycje krótkoterminowe</w:t>
            </w:r>
          </w:p>
        </w:tc>
        <w:tc>
          <w:tcPr>
            <w:tcW w:w="1732" w:type="dxa"/>
            <w:tcBorders>
              <w:top w:val="nil"/>
              <w:left w:val="nil"/>
              <w:bottom w:val="single" w:sz="8" w:space="0" w:color="auto"/>
              <w:right w:val="single" w:sz="8" w:space="0" w:color="auto"/>
            </w:tcBorders>
            <w:shd w:val="clear" w:color="auto" w:fill="auto"/>
            <w:vAlign w:val="center"/>
            <w:hideMark/>
          </w:tcPr>
          <w:p w14:paraId="3BFF792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52D6993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DBFBB1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36" w:type="dxa"/>
            <w:vAlign w:val="center"/>
            <w:hideMark/>
          </w:tcPr>
          <w:p w14:paraId="0F79A72B"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3886B18B" w14:textId="77777777" w:rsidTr="00906F48">
        <w:trPr>
          <w:trHeight w:val="1215"/>
        </w:trPr>
        <w:tc>
          <w:tcPr>
            <w:tcW w:w="1516" w:type="dxa"/>
            <w:tcBorders>
              <w:top w:val="nil"/>
              <w:left w:val="single" w:sz="8" w:space="0" w:color="auto"/>
              <w:bottom w:val="single" w:sz="4" w:space="0" w:color="auto"/>
              <w:right w:val="single" w:sz="8" w:space="0" w:color="auto"/>
            </w:tcBorders>
            <w:shd w:val="clear" w:color="000000" w:fill="FFFFFF"/>
            <w:vAlign w:val="center"/>
            <w:hideMark/>
          </w:tcPr>
          <w:p w14:paraId="5B5FFD93"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B.IV.</w:t>
            </w:r>
          </w:p>
        </w:tc>
        <w:tc>
          <w:tcPr>
            <w:tcW w:w="2156" w:type="dxa"/>
            <w:tcBorders>
              <w:top w:val="nil"/>
              <w:left w:val="nil"/>
              <w:bottom w:val="single" w:sz="4" w:space="0" w:color="auto"/>
              <w:right w:val="single" w:sz="8" w:space="0" w:color="auto"/>
            </w:tcBorders>
            <w:shd w:val="clear" w:color="000000" w:fill="FFFFFF"/>
            <w:vAlign w:val="center"/>
            <w:hideMark/>
          </w:tcPr>
          <w:p w14:paraId="0C8FE7C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Krótkoterminowe rozliczenia międzyokresowe</w:t>
            </w:r>
          </w:p>
        </w:tc>
        <w:tc>
          <w:tcPr>
            <w:tcW w:w="1732" w:type="dxa"/>
            <w:tcBorders>
              <w:top w:val="nil"/>
              <w:left w:val="nil"/>
              <w:bottom w:val="single" w:sz="4" w:space="0" w:color="auto"/>
              <w:right w:val="single" w:sz="8" w:space="0" w:color="auto"/>
            </w:tcBorders>
            <w:shd w:val="clear" w:color="auto" w:fill="auto"/>
            <w:vAlign w:val="center"/>
            <w:hideMark/>
          </w:tcPr>
          <w:p w14:paraId="07BB0B3F"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41 500,00</w:t>
            </w:r>
          </w:p>
        </w:tc>
        <w:tc>
          <w:tcPr>
            <w:tcW w:w="2130" w:type="dxa"/>
            <w:tcBorders>
              <w:top w:val="nil"/>
              <w:left w:val="nil"/>
              <w:bottom w:val="single" w:sz="4" w:space="0" w:color="auto"/>
              <w:right w:val="single" w:sz="8" w:space="0" w:color="auto"/>
            </w:tcBorders>
            <w:shd w:val="clear" w:color="auto" w:fill="auto"/>
            <w:vAlign w:val="center"/>
            <w:hideMark/>
          </w:tcPr>
          <w:p w14:paraId="2DAB167A"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35 000,00</w:t>
            </w:r>
          </w:p>
        </w:tc>
        <w:tc>
          <w:tcPr>
            <w:tcW w:w="2130" w:type="dxa"/>
            <w:tcBorders>
              <w:top w:val="nil"/>
              <w:left w:val="nil"/>
              <w:bottom w:val="single" w:sz="4" w:space="0" w:color="auto"/>
              <w:right w:val="single" w:sz="8" w:space="0" w:color="auto"/>
            </w:tcBorders>
            <w:shd w:val="clear" w:color="auto" w:fill="auto"/>
            <w:vAlign w:val="center"/>
            <w:hideMark/>
          </w:tcPr>
          <w:p w14:paraId="178A0EB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50 000,00</w:t>
            </w:r>
          </w:p>
        </w:tc>
        <w:tc>
          <w:tcPr>
            <w:tcW w:w="36" w:type="dxa"/>
            <w:vAlign w:val="center"/>
            <w:hideMark/>
          </w:tcPr>
          <w:p w14:paraId="2662D4B4"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2E1E45ED" w14:textId="77777777" w:rsidTr="00906F48">
        <w:trPr>
          <w:trHeight w:val="103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255E529"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C.</w:t>
            </w:r>
          </w:p>
        </w:tc>
        <w:tc>
          <w:tcPr>
            <w:tcW w:w="2156" w:type="dxa"/>
            <w:tcBorders>
              <w:top w:val="nil"/>
              <w:left w:val="nil"/>
              <w:bottom w:val="single" w:sz="8" w:space="0" w:color="auto"/>
              <w:right w:val="single" w:sz="8" w:space="0" w:color="auto"/>
            </w:tcBorders>
            <w:shd w:val="clear" w:color="auto" w:fill="auto"/>
            <w:vAlign w:val="center"/>
            <w:hideMark/>
          </w:tcPr>
          <w:p w14:paraId="54450A32"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Należne wpłaty na kapitał (fundusz) podstawowy</w:t>
            </w:r>
          </w:p>
        </w:tc>
        <w:tc>
          <w:tcPr>
            <w:tcW w:w="1732" w:type="dxa"/>
            <w:tcBorders>
              <w:top w:val="nil"/>
              <w:left w:val="nil"/>
              <w:bottom w:val="single" w:sz="8" w:space="0" w:color="auto"/>
              <w:right w:val="single" w:sz="8" w:space="0" w:color="auto"/>
            </w:tcBorders>
            <w:shd w:val="clear" w:color="auto" w:fill="auto"/>
            <w:vAlign w:val="center"/>
            <w:hideMark/>
          </w:tcPr>
          <w:p w14:paraId="77A4F1C2"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0DDB9844"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3C6D14B0"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36" w:type="dxa"/>
            <w:vAlign w:val="center"/>
            <w:hideMark/>
          </w:tcPr>
          <w:p w14:paraId="3FBF6F5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B07D15B" w14:textId="77777777" w:rsidTr="00906F48">
        <w:trPr>
          <w:trHeight w:val="525"/>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A6D6438"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D.</w:t>
            </w:r>
          </w:p>
        </w:tc>
        <w:tc>
          <w:tcPr>
            <w:tcW w:w="2156" w:type="dxa"/>
            <w:tcBorders>
              <w:top w:val="nil"/>
              <w:left w:val="nil"/>
              <w:bottom w:val="single" w:sz="8" w:space="0" w:color="auto"/>
              <w:right w:val="single" w:sz="8" w:space="0" w:color="auto"/>
            </w:tcBorders>
            <w:shd w:val="clear" w:color="auto" w:fill="auto"/>
            <w:vAlign w:val="center"/>
            <w:hideMark/>
          </w:tcPr>
          <w:p w14:paraId="31AAB15B"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Udziały (akcje) własne</w:t>
            </w:r>
          </w:p>
        </w:tc>
        <w:tc>
          <w:tcPr>
            <w:tcW w:w="1732" w:type="dxa"/>
            <w:tcBorders>
              <w:top w:val="nil"/>
              <w:left w:val="nil"/>
              <w:bottom w:val="single" w:sz="8" w:space="0" w:color="auto"/>
              <w:right w:val="single" w:sz="8" w:space="0" w:color="auto"/>
            </w:tcBorders>
            <w:shd w:val="clear" w:color="auto" w:fill="auto"/>
            <w:vAlign w:val="center"/>
            <w:hideMark/>
          </w:tcPr>
          <w:p w14:paraId="7C62B0F1"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712B194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30" w:type="dxa"/>
            <w:tcBorders>
              <w:top w:val="nil"/>
              <w:left w:val="nil"/>
              <w:bottom w:val="single" w:sz="8" w:space="0" w:color="auto"/>
              <w:right w:val="single" w:sz="8" w:space="0" w:color="auto"/>
            </w:tcBorders>
            <w:shd w:val="clear" w:color="auto" w:fill="auto"/>
            <w:vAlign w:val="center"/>
            <w:hideMark/>
          </w:tcPr>
          <w:p w14:paraId="1D7622F2"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36" w:type="dxa"/>
            <w:vAlign w:val="center"/>
            <w:hideMark/>
          </w:tcPr>
          <w:p w14:paraId="58276984"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3A24D6C" w14:textId="77777777">
        <w:trPr>
          <w:trHeight w:val="390"/>
        </w:trPr>
        <w:tc>
          <w:tcPr>
            <w:tcW w:w="1516"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75F7792E" w14:textId="77777777" w:rsidR="00906F48" w:rsidRPr="00906F48" w:rsidRDefault="00906F48" w:rsidP="00906F48">
            <w:pPr>
              <w:suppressAutoHyphens w:val="0"/>
              <w:spacing w:line="240" w:lineRule="auto"/>
              <w:jc w:val="center"/>
              <w:rPr>
                <w:b/>
                <w:bCs/>
                <w:i/>
                <w:iCs/>
                <w:sz w:val="20"/>
                <w:szCs w:val="20"/>
                <w:lang w:eastAsia="pl-PL"/>
              </w:rPr>
            </w:pPr>
            <w:r w:rsidRPr="00906F48">
              <w:rPr>
                <w:b/>
                <w:bCs/>
                <w:i/>
                <w:iCs/>
                <w:sz w:val="20"/>
                <w:szCs w:val="20"/>
                <w:lang w:eastAsia="pl-PL"/>
              </w:rPr>
              <w:t> </w:t>
            </w:r>
          </w:p>
        </w:tc>
        <w:tc>
          <w:tcPr>
            <w:tcW w:w="2156" w:type="dxa"/>
            <w:tcBorders>
              <w:top w:val="single" w:sz="8" w:space="0" w:color="auto"/>
              <w:left w:val="nil"/>
              <w:bottom w:val="single" w:sz="8" w:space="0" w:color="auto"/>
              <w:right w:val="single" w:sz="8" w:space="0" w:color="auto"/>
            </w:tcBorders>
            <w:shd w:val="clear" w:color="000000" w:fill="9CC2E5"/>
            <w:vAlign w:val="center"/>
            <w:hideMark/>
          </w:tcPr>
          <w:p w14:paraId="31F0D3EC" w14:textId="77777777" w:rsidR="00906F48" w:rsidRPr="00906F48" w:rsidRDefault="00906F48" w:rsidP="00906F48">
            <w:pPr>
              <w:suppressAutoHyphens w:val="0"/>
              <w:spacing w:line="240" w:lineRule="auto"/>
              <w:jc w:val="center"/>
              <w:rPr>
                <w:b/>
                <w:bCs/>
                <w:i/>
                <w:iCs/>
                <w:sz w:val="20"/>
                <w:szCs w:val="20"/>
                <w:lang w:eastAsia="pl-PL"/>
              </w:rPr>
            </w:pPr>
            <w:r w:rsidRPr="00906F48">
              <w:rPr>
                <w:b/>
                <w:bCs/>
                <w:i/>
                <w:iCs/>
                <w:sz w:val="20"/>
                <w:szCs w:val="20"/>
                <w:lang w:eastAsia="pl-PL"/>
              </w:rPr>
              <w:t>RAZEM  AKTYWA</w:t>
            </w:r>
          </w:p>
        </w:tc>
        <w:tc>
          <w:tcPr>
            <w:tcW w:w="1732" w:type="dxa"/>
            <w:tcBorders>
              <w:top w:val="single" w:sz="8" w:space="0" w:color="auto"/>
              <w:left w:val="nil"/>
              <w:bottom w:val="single" w:sz="8" w:space="0" w:color="auto"/>
              <w:right w:val="single" w:sz="8" w:space="0" w:color="auto"/>
            </w:tcBorders>
            <w:shd w:val="clear" w:color="000000" w:fill="9CC2E5"/>
            <w:vAlign w:val="center"/>
            <w:hideMark/>
          </w:tcPr>
          <w:p w14:paraId="7EFEC21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19 801 500,00</w:t>
            </w:r>
          </w:p>
        </w:tc>
        <w:tc>
          <w:tcPr>
            <w:tcW w:w="2130" w:type="dxa"/>
            <w:tcBorders>
              <w:top w:val="single" w:sz="8" w:space="0" w:color="auto"/>
              <w:left w:val="nil"/>
              <w:bottom w:val="single" w:sz="8" w:space="0" w:color="auto"/>
              <w:right w:val="single" w:sz="8" w:space="0" w:color="auto"/>
            </w:tcBorders>
            <w:shd w:val="clear" w:color="000000" w:fill="9CC2E5"/>
            <w:vAlign w:val="center"/>
            <w:hideMark/>
          </w:tcPr>
          <w:p w14:paraId="0E69303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18 980 000,00</w:t>
            </w:r>
          </w:p>
        </w:tc>
        <w:tc>
          <w:tcPr>
            <w:tcW w:w="2130" w:type="dxa"/>
            <w:tcBorders>
              <w:top w:val="single" w:sz="8" w:space="0" w:color="auto"/>
              <w:left w:val="nil"/>
              <w:bottom w:val="single" w:sz="8" w:space="0" w:color="auto"/>
              <w:right w:val="single" w:sz="8" w:space="0" w:color="auto"/>
            </w:tcBorders>
            <w:shd w:val="clear" w:color="000000" w:fill="9CC2E5"/>
            <w:vAlign w:val="center"/>
            <w:hideMark/>
          </w:tcPr>
          <w:p w14:paraId="746BA6FD"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20 640 000,00</w:t>
            </w:r>
          </w:p>
        </w:tc>
        <w:tc>
          <w:tcPr>
            <w:tcW w:w="36" w:type="dxa"/>
            <w:vAlign w:val="center"/>
            <w:hideMark/>
          </w:tcPr>
          <w:p w14:paraId="60F21F29" w14:textId="77777777" w:rsidR="00906F48" w:rsidRPr="00906F48" w:rsidRDefault="00906F48" w:rsidP="00906F48">
            <w:pPr>
              <w:suppressAutoHyphens w:val="0"/>
              <w:spacing w:line="240" w:lineRule="auto"/>
              <w:rPr>
                <w:color w:val="auto"/>
                <w:sz w:val="20"/>
                <w:szCs w:val="20"/>
                <w:lang w:eastAsia="pl-PL"/>
              </w:rPr>
            </w:pPr>
          </w:p>
        </w:tc>
      </w:tr>
    </w:tbl>
    <w:p w14:paraId="5608664D" w14:textId="77777777" w:rsidR="00906F48" w:rsidRPr="00906F48" w:rsidRDefault="00906F48" w:rsidP="00906F48"/>
    <w:p w14:paraId="5A3F5A1D" w14:textId="77777777" w:rsidR="00906F48" w:rsidRPr="00906F48" w:rsidRDefault="00906F48" w:rsidP="00906F48"/>
    <w:tbl>
      <w:tblPr>
        <w:tblW w:w="9700" w:type="dxa"/>
        <w:tblInd w:w="80" w:type="dxa"/>
        <w:tblCellMar>
          <w:left w:w="70" w:type="dxa"/>
          <w:right w:w="70" w:type="dxa"/>
        </w:tblCellMar>
        <w:tblLook w:val="04A0" w:firstRow="1" w:lastRow="0" w:firstColumn="1" w:lastColumn="0" w:noHBand="0" w:noVBand="1"/>
      </w:tblPr>
      <w:tblGrid>
        <w:gridCol w:w="1520"/>
        <w:gridCol w:w="2160"/>
        <w:gridCol w:w="1740"/>
        <w:gridCol w:w="2140"/>
        <w:gridCol w:w="2140"/>
      </w:tblGrid>
      <w:tr w:rsidR="00906F48" w:rsidRPr="00906F48" w14:paraId="27B64CC0" w14:textId="77777777" w:rsidTr="00906F48">
        <w:trPr>
          <w:trHeight w:val="315"/>
        </w:trPr>
        <w:tc>
          <w:tcPr>
            <w:tcW w:w="9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930FF13" w14:textId="77777777" w:rsidR="00906F48" w:rsidRPr="00906F48" w:rsidRDefault="00906F48" w:rsidP="00906F48">
            <w:pPr>
              <w:suppressAutoHyphens w:val="0"/>
              <w:spacing w:line="240" w:lineRule="auto"/>
              <w:jc w:val="center"/>
              <w:rPr>
                <w:b/>
                <w:bCs/>
                <w:sz w:val="22"/>
                <w:szCs w:val="22"/>
                <w:lang w:eastAsia="pl-PL"/>
              </w:rPr>
            </w:pPr>
            <w:r w:rsidRPr="00906F48">
              <w:rPr>
                <w:b/>
                <w:bCs/>
                <w:sz w:val="22"/>
                <w:szCs w:val="22"/>
                <w:lang w:eastAsia="pl-PL"/>
              </w:rPr>
              <w:t>BILANS</w:t>
            </w:r>
          </w:p>
        </w:tc>
      </w:tr>
      <w:tr w:rsidR="00906F48" w:rsidRPr="00906F48" w14:paraId="7447B54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7AB3B38" w14:textId="77777777" w:rsidR="00906F48" w:rsidRPr="00906F48" w:rsidRDefault="00906F48" w:rsidP="00906F48">
            <w:pPr>
              <w:suppressAutoHyphens w:val="0"/>
              <w:spacing w:line="240" w:lineRule="auto"/>
              <w:rPr>
                <w:sz w:val="20"/>
                <w:szCs w:val="20"/>
                <w:lang w:eastAsia="pl-PL"/>
              </w:rPr>
            </w:pPr>
            <w:r w:rsidRPr="00906F48">
              <w:rPr>
                <w:sz w:val="20"/>
                <w:szCs w:val="20"/>
                <w:lang w:eastAsia="pl-PL"/>
              </w:rPr>
              <w:lastRenderedPageBreak/>
              <w:t>KOD</w:t>
            </w:r>
          </w:p>
        </w:tc>
        <w:tc>
          <w:tcPr>
            <w:tcW w:w="2160" w:type="dxa"/>
            <w:tcBorders>
              <w:top w:val="nil"/>
              <w:left w:val="nil"/>
              <w:bottom w:val="single" w:sz="8" w:space="0" w:color="auto"/>
              <w:right w:val="single" w:sz="8" w:space="0" w:color="auto"/>
            </w:tcBorders>
            <w:shd w:val="clear" w:color="auto" w:fill="auto"/>
            <w:vAlign w:val="center"/>
            <w:hideMark/>
          </w:tcPr>
          <w:p w14:paraId="1F0B822D"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 xml:space="preserve">Wyszczególnienie </w:t>
            </w:r>
          </w:p>
        </w:tc>
        <w:tc>
          <w:tcPr>
            <w:tcW w:w="1740" w:type="dxa"/>
            <w:tcBorders>
              <w:top w:val="nil"/>
              <w:left w:val="nil"/>
              <w:bottom w:val="single" w:sz="8" w:space="0" w:color="auto"/>
              <w:right w:val="single" w:sz="8" w:space="0" w:color="auto"/>
            </w:tcBorders>
            <w:shd w:val="clear" w:color="auto" w:fill="auto"/>
            <w:vAlign w:val="center"/>
            <w:hideMark/>
          </w:tcPr>
          <w:p w14:paraId="178DBFF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2023</w:t>
            </w:r>
          </w:p>
        </w:tc>
        <w:tc>
          <w:tcPr>
            <w:tcW w:w="2140" w:type="dxa"/>
            <w:tcBorders>
              <w:top w:val="nil"/>
              <w:left w:val="nil"/>
              <w:bottom w:val="single" w:sz="8" w:space="0" w:color="auto"/>
              <w:right w:val="single" w:sz="8" w:space="0" w:color="auto"/>
            </w:tcBorders>
            <w:shd w:val="clear" w:color="auto" w:fill="auto"/>
            <w:vAlign w:val="center"/>
            <w:hideMark/>
          </w:tcPr>
          <w:p w14:paraId="340ACC8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2024</w:t>
            </w:r>
          </w:p>
        </w:tc>
        <w:tc>
          <w:tcPr>
            <w:tcW w:w="2140" w:type="dxa"/>
            <w:tcBorders>
              <w:top w:val="nil"/>
              <w:left w:val="nil"/>
              <w:bottom w:val="single" w:sz="8" w:space="0" w:color="auto"/>
              <w:right w:val="single" w:sz="8" w:space="0" w:color="auto"/>
            </w:tcBorders>
            <w:shd w:val="clear" w:color="auto" w:fill="auto"/>
            <w:vAlign w:val="center"/>
            <w:hideMark/>
          </w:tcPr>
          <w:p w14:paraId="1D55812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2025</w:t>
            </w:r>
          </w:p>
        </w:tc>
      </w:tr>
      <w:tr w:rsidR="00CF0E7B" w:rsidRPr="00906F48" w14:paraId="2591492E" w14:textId="77777777">
        <w:trPr>
          <w:trHeight w:val="315"/>
        </w:trPr>
        <w:tc>
          <w:tcPr>
            <w:tcW w:w="9700" w:type="dxa"/>
            <w:gridSpan w:val="5"/>
            <w:tcBorders>
              <w:top w:val="single" w:sz="8" w:space="0" w:color="auto"/>
              <w:left w:val="single" w:sz="8" w:space="0" w:color="auto"/>
              <w:bottom w:val="single" w:sz="8" w:space="0" w:color="auto"/>
              <w:right w:val="single" w:sz="8" w:space="0" w:color="000000"/>
            </w:tcBorders>
            <w:shd w:val="clear" w:color="000000" w:fill="9CC2E5"/>
            <w:vAlign w:val="center"/>
            <w:hideMark/>
          </w:tcPr>
          <w:p w14:paraId="7E01C93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PASYWA</w:t>
            </w:r>
          </w:p>
        </w:tc>
      </w:tr>
      <w:tr w:rsidR="00CF0E7B" w:rsidRPr="00906F48" w14:paraId="77E61718" w14:textId="77777777">
        <w:trPr>
          <w:trHeight w:val="315"/>
        </w:trPr>
        <w:tc>
          <w:tcPr>
            <w:tcW w:w="1520" w:type="dxa"/>
            <w:tcBorders>
              <w:top w:val="nil"/>
              <w:left w:val="single" w:sz="8" w:space="0" w:color="auto"/>
              <w:bottom w:val="single" w:sz="8" w:space="0" w:color="auto"/>
              <w:right w:val="single" w:sz="8" w:space="0" w:color="auto"/>
            </w:tcBorders>
            <w:shd w:val="clear" w:color="000000" w:fill="9CC2E5"/>
            <w:vAlign w:val="center"/>
            <w:hideMark/>
          </w:tcPr>
          <w:p w14:paraId="51B12979"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w:t>
            </w:r>
          </w:p>
        </w:tc>
        <w:tc>
          <w:tcPr>
            <w:tcW w:w="2160" w:type="dxa"/>
            <w:tcBorders>
              <w:top w:val="nil"/>
              <w:left w:val="nil"/>
              <w:bottom w:val="single" w:sz="8" w:space="0" w:color="auto"/>
              <w:right w:val="single" w:sz="8" w:space="0" w:color="auto"/>
            </w:tcBorders>
            <w:shd w:val="clear" w:color="000000" w:fill="9CC2E5"/>
            <w:vAlign w:val="center"/>
            <w:hideMark/>
          </w:tcPr>
          <w:p w14:paraId="1490F6E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Kapitał (fundusz) własny</w:t>
            </w:r>
          </w:p>
        </w:tc>
        <w:tc>
          <w:tcPr>
            <w:tcW w:w="1740" w:type="dxa"/>
            <w:tcBorders>
              <w:top w:val="nil"/>
              <w:left w:val="nil"/>
              <w:bottom w:val="single" w:sz="8" w:space="0" w:color="auto"/>
              <w:right w:val="single" w:sz="8" w:space="0" w:color="auto"/>
            </w:tcBorders>
            <w:shd w:val="clear" w:color="000000" w:fill="9CC2E5"/>
            <w:vAlign w:val="center"/>
            <w:hideMark/>
          </w:tcPr>
          <w:p w14:paraId="185CBDA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-5 854 834,90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38E3AEC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-6 217 134,90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11B56B6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-6 352 334,90</w:t>
            </w:r>
          </w:p>
        </w:tc>
      </w:tr>
      <w:tr w:rsidR="00906F48" w:rsidRPr="00906F48" w14:paraId="515D8AD7"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110FB4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A.I.</w:t>
            </w:r>
          </w:p>
        </w:tc>
        <w:tc>
          <w:tcPr>
            <w:tcW w:w="2160" w:type="dxa"/>
            <w:tcBorders>
              <w:top w:val="nil"/>
              <w:left w:val="nil"/>
              <w:bottom w:val="single" w:sz="8" w:space="0" w:color="auto"/>
              <w:right w:val="single" w:sz="8" w:space="0" w:color="auto"/>
            </w:tcBorders>
            <w:shd w:val="clear" w:color="000000" w:fill="FFFFFF"/>
            <w:vAlign w:val="center"/>
            <w:hideMark/>
          </w:tcPr>
          <w:p w14:paraId="138429CF"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Kapitał (fundusz) podstawowy</w:t>
            </w:r>
          </w:p>
        </w:tc>
        <w:tc>
          <w:tcPr>
            <w:tcW w:w="1740" w:type="dxa"/>
            <w:tcBorders>
              <w:top w:val="nil"/>
              <w:left w:val="nil"/>
              <w:bottom w:val="single" w:sz="8" w:space="0" w:color="auto"/>
              <w:right w:val="single" w:sz="8" w:space="0" w:color="auto"/>
            </w:tcBorders>
            <w:shd w:val="clear" w:color="auto" w:fill="auto"/>
            <w:vAlign w:val="center"/>
            <w:hideMark/>
          </w:tcPr>
          <w:p w14:paraId="5044B65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4 354 600,10</w:t>
            </w:r>
          </w:p>
        </w:tc>
        <w:tc>
          <w:tcPr>
            <w:tcW w:w="2140" w:type="dxa"/>
            <w:tcBorders>
              <w:top w:val="nil"/>
              <w:left w:val="nil"/>
              <w:bottom w:val="single" w:sz="8" w:space="0" w:color="auto"/>
              <w:right w:val="single" w:sz="8" w:space="0" w:color="auto"/>
            </w:tcBorders>
            <w:shd w:val="clear" w:color="auto" w:fill="auto"/>
            <w:vAlign w:val="center"/>
            <w:hideMark/>
          </w:tcPr>
          <w:p w14:paraId="77137CF8"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4 354 600,10</w:t>
            </w:r>
          </w:p>
        </w:tc>
        <w:tc>
          <w:tcPr>
            <w:tcW w:w="2140" w:type="dxa"/>
            <w:tcBorders>
              <w:top w:val="nil"/>
              <w:left w:val="nil"/>
              <w:bottom w:val="single" w:sz="8" w:space="0" w:color="auto"/>
              <w:right w:val="single" w:sz="8" w:space="0" w:color="auto"/>
            </w:tcBorders>
            <w:shd w:val="clear" w:color="auto" w:fill="auto"/>
            <w:vAlign w:val="center"/>
            <w:hideMark/>
          </w:tcPr>
          <w:p w14:paraId="41AE28B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4 354 600,10</w:t>
            </w:r>
          </w:p>
        </w:tc>
      </w:tr>
      <w:tr w:rsidR="00906F48" w:rsidRPr="00906F48" w14:paraId="361052DE"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CA42C1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A.II.</w:t>
            </w:r>
          </w:p>
        </w:tc>
        <w:tc>
          <w:tcPr>
            <w:tcW w:w="2160" w:type="dxa"/>
            <w:tcBorders>
              <w:top w:val="nil"/>
              <w:left w:val="nil"/>
              <w:bottom w:val="single" w:sz="8" w:space="0" w:color="auto"/>
              <w:right w:val="single" w:sz="8" w:space="0" w:color="auto"/>
            </w:tcBorders>
            <w:shd w:val="clear" w:color="000000" w:fill="FFFFFF"/>
            <w:vAlign w:val="center"/>
            <w:hideMark/>
          </w:tcPr>
          <w:p w14:paraId="113BCA2B"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Kapitał (fundusz)  zapasowy, w tym:</w:t>
            </w:r>
          </w:p>
        </w:tc>
        <w:tc>
          <w:tcPr>
            <w:tcW w:w="1740" w:type="dxa"/>
            <w:tcBorders>
              <w:top w:val="nil"/>
              <w:left w:val="nil"/>
              <w:bottom w:val="single" w:sz="8" w:space="0" w:color="auto"/>
              <w:right w:val="single" w:sz="8" w:space="0" w:color="auto"/>
            </w:tcBorders>
            <w:shd w:val="clear" w:color="auto" w:fill="auto"/>
            <w:vAlign w:val="center"/>
            <w:hideMark/>
          </w:tcPr>
          <w:p w14:paraId="3DC7915D"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C206A0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7290BF8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7D53A021" w14:textId="77777777" w:rsidTr="00906F48">
        <w:trPr>
          <w:trHeight w:val="12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2B47EAB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w:t>
            </w:r>
          </w:p>
        </w:tc>
        <w:tc>
          <w:tcPr>
            <w:tcW w:w="2160" w:type="dxa"/>
            <w:tcBorders>
              <w:top w:val="nil"/>
              <w:left w:val="nil"/>
              <w:bottom w:val="single" w:sz="8" w:space="0" w:color="auto"/>
              <w:right w:val="single" w:sz="8" w:space="0" w:color="auto"/>
            </w:tcBorders>
            <w:shd w:val="clear" w:color="000000" w:fill="FFFFFF"/>
            <w:vAlign w:val="center"/>
            <w:hideMark/>
          </w:tcPr>
          <w:p w14:paraId="010511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nadwyżka wartości sprzedaży (wartości emisyjnej)  nad wartością nominalną udziałów (akcji)</w:t>
            </w:r>
          </w:p>
        </w:tc>
        <w:tc>
          <w:tcPr>
            <w:tcW w:w="1740" w:type="dxa"/>
            <w:tcBorders>
              <w:top w:val="nil"/>
              <w:left w:val="nil"/>
              <w:bottom w:val="single" w:sz="8" w:space="0" w:color="auto"/>
              <w:right w:val="single" w:sz="8" w:space="0" w:color="auto"/>
            </w:tcBorders>
            <w:shd w:val="clear" w:color="auto" w:fill="auto"/>
            <w:vAlign w:val="center"/>
            <w:hideMark/>
          </w:tcPr>
          <w:p w14:paraId="3A71C8B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A2ED42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18CB04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4BD8452B"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C331A5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A.III.</w:t>
            </w:r>
          </w:p>
        </w:tc>
        <w:tc>
          <w:tcPr>
            <w:tcW w:w="2160" w:type="dxa"/>
            <w:tcBorders>
              <w:top w:val="nil"/>
              <w:left w:val="nil"/>
              <w:bottom w:val="single" w:sz="8" w:space="0" w:color="auto"/>
              <w:right w:val="single" w:sz="8" w:space="0" w:color="auto"/>
            </w:tcBorders>
            <w:shd w:val="clear" w:color="000000" w:fill="FFFFFF"/>
            <w:vAlign w:val="center"/>
            <w:hideMark/>
          </w:tcPr>
          <w:p w14:paraId="1F870561"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Kapitał (fundusz) z aktualizacji wyceny, w tym:</w:t>
            </w:r>
          </w:p>
        </w:tc>
        <w:tc>
          <w:tcPr>
            <w:tcW w:w="1740" w:type="dxa"/>
            <w:tcBorders>
              <w:top w:val="nil"/>
              <w:left w:val="nil"/>
              <w:bottom w:val="single" w:sz="8" w:space="0" w:color="auto"/>
              <w:right w:val="single" w:sz="8" w:space="0" w:color="auto"/>
            </w:tcBorders>
            <w:shd w:val="clear" w:color="auto" w:fill="auto"/>
            <w:vAlign w:val="center"/>
            <w:hideMark/>
          </w:tcPr>
          <w:p w14:paraId="19E6186E"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B4404A9"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B7392E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5AE229EC"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2E26FF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A.III.-</w:t>
            </w:r>
          </w:p>
        </w:tc>
        <w:tc>
          <w:tcPr>
            <w:tcW w:w="2160" w:type="dxa"/>
            <w:tcBorders>
              <w:top w:val="nil"/>
              <w:left w:val="nil"/>
              <w:bottom w:val="single" w:sz="8" w:space="0" w:color="auto"/>
              <w:right w:val="single" w:sz="8" w:space="0" w:color="auto"/>
            </w:tcBorders>
            <w:shd w:val="clear" w:color="000000" w:fill="FFFFFF"/>
            <w:vAlign w:val="center"/>
            <w:hideMark/>
          </w:tcPr>
          <w:p w14:paraId="03ED4AE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aktualizacji wartości godziwej</w:t>
            </w:r>
          </w:p>
        </w:tc>
        <w:tc>
          <w:tcPr>
            <w:tcW w:w="1740" w:type="dxa"/>
            <w:tcBorders>
              <w:top w:val="nil"/>
              <w:left w:val="nil"/>
              <w:bottom w:val="single" w:sz="8" w:space="0" w:color="auto"/>
              <w:right w:val="single" w:sz="8" w:space="0" w:color="auto"/>
            </w:tcBorders>
            <w:shd w:val="clear" w:color="auto" w:fill="auto"/>
            <w:vAlign w:val="center"/>
            <w:hideMark/>
          </w:tcPr>
          <w:p w14:paraId="415FCF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398AEA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37000F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05B28E4"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16F17EE"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0DF5CD19"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Pozostałe kapitały (fundusze) rezerwowe, w tym:</w:t>
            </w:r>
          </w:p>
        </w:tc>
        <w:tc>
          <w:tcPr>
            <w:tcW w:w="1740" w:type="dxa"/>
            <w:tcBorders>
              <w:top w:val="nil"/>
              <w:left w:val="nil"/>
              <w:bottom w:val="single" w:sz="8" w:space="0" w:color="auto"/>
              <w:right w:val="single" w:sz="8" w:space="0" w:color="auto"/>
            </w:tcBorders>
            <w:shd w:val="clear" w:color="auto" w:fill="auto"/>
            <w:vAlign w:val="center"/>
            <w:hideMark/>
          </w:tcPr>
          <w:p w14:paraId="29C9DE1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05935E6"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9759ED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6E59A392"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43CB9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589301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tworzone zgodnie z umową (statutem) spółki</w:t>
            </w:r>
          </w:p>
        </w:tc>
        <w:tc>
          <w:tcPr>
            <w:tcW w:w="1740" w:type="dxa"/>
            <w:tcBorders>
              <w:top w:val="nil"/>
              <w:left w:val="nil"/>
              <w:bottom w:val="single" w:sz="8" w:space="0" w:color="auto"/>
              <w:right w:val="single" w:sz="8" w:space="0" w:color="auto"/>
            </w:tcBorders>
            <w:shd w:val="clear" w:color="auto" w:fill="auto"/>
            <w:vAlign w:val="center"/>
            <w:hideMark/>
          </w:tcPr>
          <w:p w14:paraId="1AA5FD5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CF554B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AC0B7D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C976AB9"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FE50A8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10D1CBD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na udziały (akcje) własne</w:t>
            </w:r>
          </w:p>
        </w:tc>
        <w:tc>
          <w:tcPr>
            <w:tcW w:w="1740" w:type="dxa"/>
            <w:tcBorders>
              <w:top w:val="nil"/>
              <w:left w:val="nil"/>
              <w:bottom w:val="single" w:sz="8" w:space="0" w:color="auto"/>
              <w:right w:val="single" w:sz="8" w:space="0" w:color="auto"/>
            </w:tcBorders>
            <w:shd w:val="clear" w:color="auto" w:fill="auto"/>
            <w:vAlign w:val="center"/>
            <w:hideMark/>
          </w:tcPr>
          <w:p w14:paraId="5B86A9A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826AF9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F2A80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215D11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7E64167"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A.V.</w:t>
            </w:r>
          </w:p>
        </w:tc>
        <w:tc>
          <w:tcPr>
            <w:tcW w:w="2160" w:type="dxa"/>
            <w:tcBorders>
              <w:top w:val="nil"/>
              <w:left w:val="nil"/>
              <w:bottom w:val="single" w:sz="8" w:space="0" w:color="auto"/>
              <w:right w:val="single" w:sz="8" w:space="0" w:color="auto"/>
            </w:tcBorders>
            <w:shd w:val="clear" w:color="000000" w:fill="FFFFFF"/>
            <w:vAlign w:val="center"/>
            <w:hideMark/>
          </w:tcPr>
          <w:p w14:paraId="3767F28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Zysk (strata) z lat ubiegłych</w:t>
            </w:r>
          </w:p>
        </w:tc>
        <w:tc>
          <w:tcPr>
            <w:tcW w:w="1740" w:type="dxa"/>
            <w:tcBorders>
              <w:top w:val="nil"/>
              <w:left w:val="nil"/>
              <w:bottom w:val="single" w:sz="8" w:space="0" w:color="auto"/>
              <w:right w:val="single" w:sz="8" w:space="0" w:color="auto"/>
            </w:tcBorders>
            <w:shd w:val="clear" w:color="auto" w:fill="auto"/>
            <w:vAlign w:val="center"/>
            <w:hideMark/>
          </w:tcPr>
          <w:p w14:paraId="29D0AE7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-9 704 235,00</w:t>
            </w:r>
          </w:p>
        </w:tc>
        <w:tc>
          <w:tcPr>
            <w:tcW w:w="2140" w:type="dxa"/>
            <w:tcBorders>
              <w:top w:val="nil"/>
              <w:left w:val="nil"/>
              <w:bottom w:val="single" w:sz="8" w:space="0" w:color="auto"/>
              <w:right w:val="single" w:sz="8" w:space="0" w:color="auto"/>
            </w:tcBorders>
            <w:shd w:val="clear" w:color="auto" w:fill="auto"/>
            <w:vAlign w:val="center"/>
            <w:hideMark/>
          </w:tcPr>
          <w:p w14:paraId="45C0E6C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-10 209 435,00</w:t>
            </w:r>
          </w:p>
        </w:tc>
        <w:tc>
          <w:tcPr>
            <w:tcW w:w="2140" w:type="dxa"/>
            <w:tcBorders>
              <w:top w:val="nil"/>
              <w:left w:val="nil"/>
              <w:bottom w:val="single" w:sz="8" w:space="0" w:color="auto"/>
              <w:right w:val="single" w:sz="8" w:space="0" w:color="auto"/>
            </w:tcBorders>
            <w:shd w:val="clear" w:color="auto" w:fill="auto"/>
            <w:vAlign w:val="center"/>
            <w:hideMark/>
          </w:tcPr>
          <w:p w14:paraId="1461AC2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-10 571 735,00</w:t>
            </w:r>
          </w:p>
        </w:tc>
      </w:tr>
      <w:tr w:rsidR="00906F48" w:rsidRPr="00906F48" w14:paraId="2C6A952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A0374C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A.V.1.</w:t>
            </w:r>
          </w:p>
        </w:tc>
        <w:tc>
          <w:tcPr>
            <w:tcW w:w="2160" w:type="dxa"/>
            <w:tcBorders>
              <w:top w:val="nil"/>
              <w:left w:val="nil"/>
              <w:bottom w:val="single" w:sz="8" w:space="0" w:color="auto"/>
              <w:right w:val="single" w:sz="8" w:space="0" w:color="auto"/>
            </w:tcBorders>
            <w:shd w:val="clear" w:color="000000" w:fill="FFFFFF"/>
            <w:vAlign w:val="center"/>
            <w:hideMark/>
          </w:tcPr>
          <w:p w14:paraId="11A33E0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Zysk (wielkość dodatnia)</w:t>
            </w:r>
          </w:p>
        </w:tc>
        <w:tc>
          <w:tcPr>
            <w:tcW w:w="1740" w:type="dxa"/>
            <w:tcBorders>
              <w:top w:val="nil"/>
              <w:left w:val="nil"/>
              <w:bottom w:val="single" w:sz="8" w:space="0" w:color="auto"/>
              <w:right w:val="single" w:sz="8" w:space="0" w:color="auto"/>
            </w:tcBorders>
            <w:shd w:val="clear" w:color="auto" w:fill="auto"/>
            <w:vAlign w:val="center"/>
            <w:hideMark/>
          </w:tcPr>
          <w:p w14:paraId="3E8F4D36"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A91F31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C26ED4D"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906F48" w:rsidRPr="00906F48" w14:paraId="647CA30D"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FE93F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A.V.2.</w:t>
            </w:r>
          </w:p>
        </w:tc>
        <w:tc>
          <w:tcPr>
            <w:tcW w:w="2160" w:type="dxa"/>
            <w:tcBorders>
              <w:top w:val="nil"/>
              <w:left w:val="nil"/>
              <w:bottom w:val="single" w:sz="8" w:space="0" w:color="auto"/>
              <w:right w:val="single" w:sz="8" w:space="0" w:color="auto"/>
            </w:tcBorders>
            <w:shd w:val="clear" w:color="000000" w:fill="FFFFFF"/>
            <w:vAlign w:val="center"/>
            <w:hideMark/>
          </w:tcPr>
          <w:p w14:paraId="022A8A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Strata (wielkość ujemna)</w:t>
            </w:r>
          </w:p>
        </w:tc>
        <w:tc>
          <w:tcPr>
            <w:tcW w:w="1740" w:type="dxa"/>
            <w:tcBorders>
              <w:top w:val="nil"/>
              <w:left w:val="nil"/>
              <w:bottom w:val="single" w:sz="8" w:space="0" w:color="auto"/>
              <w:right w:val="single" w:sz="8" w:space="0" w:color="auto"/>
            </w:tcBorders>
            <w:shd w:val="clear" w:color="auto" w:fill="auto"/>
            <w:vAlign w:val="center"/>
            <w:hideMark/>
          </w:tcPr>
          <w:p w14:paraId="3515FD90"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-9 704 235,00</w:t>
            </w:r>
          </w:p>
        </w:tc>
        <w:tc>
          <w:tcPr>
            <w:tcW w:w="2140" w:type="dxa"/>
            <w:tcBorders>
              <w:top w:val="nil"/>
              <w:left w:val="nil"/>
              <w:bottom w:val="single" w:sz="8" w:space="0" w:color="auto"/>
              <w:right w:val="single" w:sz="8" w:space="0" w:color="auto"/>
            </w:tcBorders>
            <w:shd w:val="clear" w:color="auto" w:fill="auto"/>
            <w:vAlign w:val="center"/>
            <w:hideMark/>
          </w:tcPr>
          <w:p w14:paraId="27AD4F70"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-10 209 435,00</w:t>
            </w:r>
          </w:p>
        </w:tc>
        <w:tc>
          <w:tcPr>
            <w:tcW w:w="2140" w:type="dxa"/>
            <w:tcBorders>
              <w:top w:val="nil"/>
              <w:left w:val="nil"/>
              <w:bottom w:val="single" w:sz="8" w:space="0" w:color="auto"/>
              <w:right w:val="single" w:sz="8" w:space="0" w:color="auto"/>
            </w:tcBorders>
            <w:shd w:val="clear" w:color="auto" w:fill="auto"/>
            <w:vAlign w:val="center"/>
            <w:hideMark/>
          </w:tcPr>
          <w:p w14:paraId="3ECD492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-10 571 735,00</w:t>
            </w:r>
          </w:p>
        </w:tc>
      </w:tr>
      <w:tr w:rsidR="00906F48" w:rsidRPr="00906F48" w14:paraId="5F92662B"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C881EEA"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A.VI.</w:t>
            </w:r>
          </w:p>
        </w:tc>
        <w:tc>
          <w:tcPr>
            <w:tcW w:w="2160" w:type="dxa"/>
            <w:tcBorders>
              <w:top w:val="nil"/>
              <w:left w:val="nil"/>
              <w:bottom w:val="single" w:sz="8" w:space="0" w:color="auto"/>
              <w:right w:val="single" w:sz="8" w:space="0" w:color="auto"/>
            </w:tcBorders>
            <w:shd w:val="clear" w:color="000000" w:fill="FFFFFF"/>
            <w:vAlign w:val="center"/>
            <w:hideMark/>
          </w:tcPr>
          <w:p w14:paraId="2D16ADC8"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Zysk (strata) netto</w:t>
            </w:r>
          </w:p>
        </w:tc>
        <w:tc>
          <w:tcPr>
            <w:tcW w:w="1740" w:type="dxa"/>
            <w:tcBorders>
              <w:top w:val="nil"/>
              <w:left w:val="nil"/>
              <w:bottom w:val="single" w:sz="8" w:space="0" w:color="auto"/>
              <w:right w:val="single" w:sz="8" w:space="0" w:color="auto"/>
            </w:tcBorders>
            <w:shd w:val="clear" w:color="auto" w:fill="auto"/>
            <w:vAlign w:val="center"/>
            <w:hideMark/>
          </w:tcPr>
          <w:p w14:paraId="5A15A307"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-505 200,00</w:t>
            </w:r>
          </w:p>
        </w:tc>
        <w:tc>
          <w:tcPr>
            <w:tcW w:w="2140" w:type="dxa"/>
            <w:tcBorders>
              <w:top w:val="nil"/>
              <w:left w:val="nil"/>
              <w:bottom w:val="single" w:sz="8" w:space="0" w:color="auto"/>
              <w:right w:val="single" w:sz="8" w:space="0" w:color="auto"/>
            </w:tcBorders>
            <w:shd w:val="clear" w:color="auto" w:fill="auto"/>
            <w:vAlign w:val="center"/>
            <w:hideMark/>
          </w:tcPr>
          <w:p w14:paraId="0B1C276D"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-362 300,00</w:t>
            </w:r>
          </w:p>
        </w:tc>
        <w:tc>
          <w:tcPr>
            <w:tcW w:w="2140" w:type="dxa"/>
            <w:tcBorders>
              <w:top w:val="nil"/>
              <w:left w:val="nil"/>
              <w:bottom w:val="single" w:sz="8" w:space="0" w:color="auto"/>
              <w:right w:val="single" w:sz="8" w:space="0" w:color="auto"/>
            </w:tcBorders>
            <w:shd w:val="clear" w:color="auto" w:fill="auto"/>
            <w:vAlign w:val="center"/>
            <w:hideMark/>
          </w:tcPr>
          <w:p w14:paraId="522138F1"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-135 200,00</w:t>
            </w:r>
          </w:p>
        </w:tc>
      </w:tr>
      <w:tr w:rsidR="00906F48" w:rsidRPr="00906F48" w14:paraId="793637F7"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E6659B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A.VI.1.</w:t>
            </w:r>
          </w:p>
        </w:tc>
        <w:tc>
          <w:tcPr>
            <w:tcW w:w="2160" w:type="dxa"/>
            <w:tcBorders>
              <w:top w:val="nil"/>
              <w:left w:val="nil"/>
              <w:bottom w:val="single" w:sz="8" w:space="0" w:color="auto"/>
              <w:right w:val="single" w:sz="8" w:space="0" w:color="auto"/>
            </w:tcBorders>
            <w:shd w:val="clear" w:color="000000" w:fill="FFFFFF"/>
            <w:vAlign w:val="center"/>
            <w:hideMark/>
          </w:tcPr>
          <w:p w14:paraId="078B75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Zysk (wielkość dodatnia)</w:t>
            </w:r>
          </w:p>
        </w:tc>
        <w:tc>
          <w:tcPr>
            <w:tcW w:w="1740" w:type="dxa"/>
            <w:tcBorders>
              <w:top w:val="nil"/>
              <w:left w:val="nil"/>
              <w:bottom w:val="single" w:sz="8" w:space="0" w:color="auto"/>
              <w:right w:val="single" w:sz="8" w:space="0" w:color="auto"/>
            </w:tcBorders>
            <w:shd w:val="clear" w:color="auto" w:fill="auto"/>
            <w:vAlign w:val="center"/>
            <w:hideMark/>
          </w:tcPr>
          <w:p w14:paraId="0C1A263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2381B8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D84582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5F6D75C"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00DE53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A.VI.2.</w:t>
            </w:r>
          </w:p>
        </w:tc>
        <w:tc>
          <w:tcPr>
            <w:tcW w:w="2160" w:type="dxa"/>
            <w:tcBorders>
              <w:top w:val="nil"/>
              <w:left w:val="nil"/>
              <w:bottom w:val="single" w:sz="8" w:space="0" w:color="auto"/>
              <w:right w:val="single" w:sz="8" w:space="0" w:color="auto"/>
            </w:tcBorders>
            <w:shd w:val="clear" w:color="000000" w:fill="FFFFFF"/>
            <w:vAlign w:val="center"/>
            <w:hideMark/>
          </w:tcPr>
          <w:p w14:paraId="201FF4D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Strata (wielkość ujemna)</w:t>
            </w:r>
          </w:p>
        </w:tc>
        <w:tc>
          <w:tcPr>
            <w:tcW w:w="1740" w:type="dxa"/>
            <w:tcBorders>
              <w:top w:val="nil"/>
              <w:left w:val="nil"/>
              <w:bottom w:val="single" w:sz="8" w:space="0" w:color="auto"/>
              <w:right w:val="single" w:sz="8" w:space="0" w:color="auto"/>
            </w:tcBorders>
            <w:shd w:val="clear" w:color="auto" w:fill="auto"/>
            <w:vAlign w:val="center"/>
            <w:hideMark/>
          </w:tcPr>
          <w:p w14:paraId="0501490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-505 200,00</w:t>
            </w:r>
          </w:p>
        </w:tc>
        <w:tc>
          <w:tcPr>
            <w:tcW w:w="2140" w:type="dxa"/>
            <w:tcBorders>
              <w:top w:val="nil"/>
              <w:left w:val="nil"/>
              <w:bottom w:val="single" w:sz="8" w:space="0" w:color="auto"/>
              <w:right w:val="single" w:sz="8" w:space="0" w:color="auto"/>
            </w:tcBorders>
            <w:shd w:val="clear" w:color="auto" w:fill="auto"/>
            <w:vAlign w:val="center"/>
            <w:hideMark/>
          </w:tcPr>
          <w:p w14:paraId="1D5B78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-362 300,00</w:t>
            </w:r>
          </w:p>
        </w:tc>
        <w:tc>
          <w:tcPr>
            <w:tcW w:w="2140" w:type="dxa"/>
            <w:tcBorders>
              <w:top w:val="nil"/>
              <w:left w:val="nil"/>
              <w:bottom w:val="single" w:sz="8" w:space="0" w:color="auto"/>
              <w:right w:val="single" w:sz="8" w:space="0" w:color="auto"/>
            </w:tcBorders>
            <w:shd w:val="clear" w:color="auto" w:fill="auto"/>
            <w:vAlign w:val="center"/>
            <w:hideMark/>
          </w:tcPr>
          <w:p w14:paraId="593309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-135 200,00</w:t>
            </w:r>
          </w:p>
        </w:tc>
      </w:tr>
      <w:tr w:rsidR="00906F48" w:rsidRPr="00906F48" w14:paraId="2ACDC512"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9B0A89B"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A.VII.</w:t>
            </w:r>
          </w:p>
        </w:tc>
        <w:tc>
          <w:tcPr>
            <w:tcW w:w="2160" w:type="dxa"/>
            <w:tcBorders>
              <w:top w:val="nil"/>
              <w:left w:val="nil"/>
              <w:bottom w:val="single" w:sz="8" w:space="0" w:color="auto"/>
              <w:right w:val="single" w:sz="8" w:space="0" w:color="auto"/>
            </w:tcBorders>
            <w:shd w:val="clear" w:color="000000" w:fill="FFFFFF"/>
            <w:vAlign w:val="center"/>
            <w:hideMark/>
          </w:tcPr>
          <w:p w14:paraId="4941276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Odpisy z zysku netto w ciągu roku obrotowego (wielkość ujemna)</w:t>
            </w:r>
          </w:p>
        </w:tc>
        <w:tc>
          <w:tcPr>
            <w:tcW w:w="1740" w:type="dxa"/>
            <w:tcBorders>
              <w:top w:val="nil"/>
              <w:left w:val="nil"/>
              <w:bottom w:val="single" w:sz="8" w:space="0" w:color="auto"/>
              <w:right w:val="single" w:sz="8" w:space="0" w:color="auto"/>
            </w:tcBorders>
            <w:shd w:val="clear" w:color="auto" w:fill="auto"/>
            <w:vAlign w:val="center"/>
            <w:hideMark/>
          </w:tcPr>
          <w:p w14:paraId="6390DC1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757C04F"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C7976C3"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0,00</w:t>
            </w:r>
          </w:p>
        </w:tc>
      </w:tr>
      <w:tr w:rsidR="00CF0E7B" w:rsidRPr="00906F48" w14:paraId="0EB60F59" w14:textId="77777777">
        <w:trPr>
          <w:trHeight w:val="525"/>
        </w:trPr>
        <w:tc>
          <w:tcPr>
            <w:tcW w:w="152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330E202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w:t>
            </w:r>
          </w:p>
        </w:tc>
        <w:tc>
          <w:tcPr>
            <w:tcW w:w="2160" w:type="dxa"/>
            <w:tcBorders>
              <w:top w:val="single" w:sz="8" w:space="0" w:color="auto"/>
              <w:left w:val="nil"/>
              <w:bottom w:val="single" w:sz="8" w:space="0" w:color="auto"/>
              <w:right w:val="single" w:sz="8" w:space="0" w:color="auto"/>
            </w:tcBorders>
            <w:shd w:val="clear" w:color="000000" w:fill="9CC2E5"/>
            <w:vAlign w:val="center"/>
            <w:hideMark/>
          </w:tcPr>
          <w:p w14:paraId="3FF43F2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Zobowiązania i rezerwy na zobowiązania</w:t>
            </w:r>
          </w:p>
        </w:tc>
        <w:tc>
          <w:tcPr>
            <w:tcW w:w="1740" w:type="dxa"/>
            <w:tcBorders>
              <w:top w:val="single" w:sz="8" w:space="0" w:color="auto"/>
              <w:left w:val="nil"/>
              <w:bottom w:val="single" w:sz="8" w:space="0" w:color="auto"/>
              <w:right w:val="single" w:sz="8" w:space="0" w:color="auto"/>
            </w:tcBorders>
            <w:shd w:val="clear" w:color="000000" w:fill="9CC2E5"/>
            <w:vAlign w:val="center"/>
            <w:hideMark/>
          </w:tcPr>
          <w:p w14:paraId="182688F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25 656 334,90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19622E0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25 197 134,90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668B728A"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26 992 334,90</w:t>
            </w:r>
          </w:p>
        </w:tc>
      </w:tr>
      <w:tr w:rsidR="00906F48" w:rsidRPr="00906F48" w14:paraId="7BEAD012"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9777C6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w:t>
            </w:r>
          </w:p>
        </w:tc>
        <w:tc>
          <w:tcPr>
            <w:tcW w:w="2160" w:type="dxa"/>
            <w:tcBorders>
              <w:top w:val="nil"/>
              <w:left w:val="nil"/>
              <w:bottom w:val="single" w:sz="8" w:space="0" w:color="auto"/>
              <w:right w:val="single" w:sz="8" w:space="0" w:color="auto"/>
            </w:tcBorders>
            <w:shd w:val="clear" w:color="000000" w:fill="FFFFFF"/>
            <w:vAlign w:val="center"/>
            <w:hideMark/>
          </w:tcPr>
          <w:p w14:paraId="77ED838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Rezerwy na zobowiązania</w:t>
            </w:r>
          </w:p>
        </w:tc>
        <w:tc>
          <w:tcPr>
            <w:tcW w:w="1740" w:type="dxa"/>
            <w:tcBorders>
              <w:top w:val="nil"/>
              <w:left w:val="nil"/>
              <w:bottom w:val="single" w:sz="8" w:space="0" w:color="auto"/>
              <w:right w:val="single" w:sz="8" w:space="0" w:color="auto"/>
            </w:tcBorders>
            <w:shd w:val="clear" w:color="auto" w:fill="auto"/>
            <w:vAlign w:val="center"/>
            <w:hideMark/>
          </w:tcPr>
          <w:p w14:paraId="6DDB4D05"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2 900 000,00</w:t>
            </w:r>
          </w:p>
        </w:tc>
        <w:tc>
          <w:tcPr>
            <w:tcW w:w="2140" w:type="dxa"/>
            <w:tcBorders>
              <w:top w:val="nil"/>
              <w:left w:val="nil"/>
              <w:bottom w:val="single" w:sz="8" w:space="0" w:color="auto"/>
              <w:right w:val="single" w:sz="8" w:space="0" w:color="auto"/>
            </w:tcBorders>
            <w:shd w:val="clear" w:color="auto" w:fill="auto"/>
            <w:vAlign w:val="center"/>
            <w:hideMark/>
          </w:tcPr>
          <w:p w14:paraId="1126B29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2 650 000,00</w:t>
            </w:r>
          </w:p>
        </w:tc>
        <w:tc>
          <w:tcPr>
            <w:tcW w:w="2140" w:type="dxa"/>
            <w:tcBorders>
              <w:top w:val="nil"/>
              <w:left w:val="nil"/>
              <w:bottom w:val="single" w:sz="8" w:space="0" w:color="auto"/>
              <w:right w:val="single" w:sz="8" w:space="0" w:color="auto"/>
            </w:tcBorders>
            <w:shd w:val="clear" w:color="auto" w:fill="auto"/>
            <w:vAlign w:val="center"/>
            <w:hideMark/>
          </w:tcPr>
          <w:p w14:paraId="149D91B0"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2 400 000,00</w:t>
            </w:r>
          </w:p>
        </w:tc>
      </w:tr>
      <w:tr w:rsidR="00906F48" w:rsidRPr="00906F48" w14:paraId="7705FA73"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A3D392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B.I.1.</w:t>
            </w:r>
          </w:p>
        </w:tc>
        <w:tc>
          <w:tcPr>
            <w:tcW w:w="2160" w:type="dxa"/>
            <w:tcBorders>
              <w:top w:val="nil"/>
              <w:left w:val="nil"/>
              <w:bottom w:val="single" w:sz="8" w:space="0" w:color="auto"/>
              <w:right w:val="single" w:sz="8" w:space="0" w:color="auto"/>
            </w:tcBorders>
            <w:shd w:val="clear" w:color="auto" w:fill="auto"/>
            <w:vAlign w:val="center"/>
            <w:hideMark/>
          </w:tcPr>
          <w:p w14:paraId="19C6555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Rezerwa z tytułu odroczonego podatku dochodowego</w:t>
            </w:r>
          </w:p>
        </w:tc>
        <w:tc>
          <w:tcPr>
            <w:tcW w:w="1740" w:type="dxa"/>
            <w:tcBorders>
              <w:top w:val="nil"/>
              <w:left w:val="nil"/>
              <w:bottom w:val="single" w:sz="8" w:space="0" w:color="auto"/>
              <w:right w:val="single" w:sz="8" w:space="0" w:color="auto"/>
            </w:tcBorders>
            <w:shd w:val="clear" w:color="auto" w:fill="auto"/>
            <w:vAlign w:val="center"/>
            <w:hideMark/>
          </w:tcPr>
          <w:p w14:paraId="68C427F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83F291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A1948A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6121070D"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B65F3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B.I.2.</w:t>
            </w:r>
          </w:p>
        </w:tc>
        <w:tc>
          <w:tcPr>
            <w:tcW w:w="2160" w:type="dxa"/>
            <w:tcBorders>
              <w:top w:val="nil"/>
              <w:left w:val="nil"/>
              <w:bottom w:val="single" w:sz="8" w:space="0" w:color="auto"/>
              <w:right w:val="single" w:sz="8" w:space="0" w:color="auto"/>
            </w:tcBorders>
            <w:shd w:val="clear" w:color="auto" w:fill="auto"/>
            <w:vAlign w:val="center"/>
            <w:hideMark/>
          </w:tcPr>
          <w:p w14:paraId="5133D5F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Rezerwa na świadczenia emerytalne  i podobne</w:t>
            </w:r>
          </w:p>
        </w:tc>
        <w:tc>
          <w:tcPr>
            <w:tcW w:w="1740" w:type="dxa"/>
            <w:tcBorders>
              <w:top w:val="nil"/>
              <w:left w:val="nil"/>
              <w:bottom w:val="single" w:sz="8" w:space="0" w:color="auto"/>
              <w:right w:val="single" w:sz="8" w:space="0" w:color="auto"/>
            </w:tcBorders>
            <w:shd w:val="clear" w:color="auto" w:fill="auto"/>
            <w:vAlign w:val="center"/>
            <w:hideMark/>
          </w:tcPr>
          <w:p w14:paraId="4CA474BE"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2 900 000,00</w:t>
            </w:r>
          </w:p>
        </w:tc>
        <w:tc>
          <w:tcPr>
            <w:tcW w:w="2140" w:type="dxa"/>
            <w:tcBorders>
              <w:top w:val="nil"/>
              <w:left w:val="nil"/>
              <w:bottom w:val="single" w:sz="8" w:space="0" w:color="auto"/>
              <w:right w:val="single" w:sz="8" w:space="0" w:color="auto"/>
            </w:tcBorders>
            <w:shd w:val="clear" w:color="auto" w:fill="auto"/>
            <w:vAlign w:val="center"/>
            <w:hideMark/>
          </w:tcPr>
          <w:p w14:paraId="5C1F7B3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2 650 000,00</w:t>
            </w:r>
          </w:p>
        </w:tc>
        <w:tc>
          <w:tcPr>
            <w:tcW w:w="2140" w:type="dxa"/>
            <w:tcBorders>
              <w:top w:val="nil"/>
              <w:left w:val="nil"/>
              <w:bottom w:val="single" w:sz="8" w:space="0" w:color="auto"/>
              <w:right w:val="single" w:sz="8" w:space="0" w:color="auto"/>
            </w:tcBorders>
            <w:shd w:val="clear" w:color="auto" w:fill="auto"/>
            <w:vAlign w:val="center"/>
            <w:hideMark/>
          </w:tcPr>
          <w:p w14:paraId="3EC6867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2 400 000,00</w:t>
            </w:r>
          </w:p>
        </w:tc>
      </w:tr>
      <w:tr w:rsidR="00906F48" w:rsidRPr="00906F48" w14:paraId="06B949E0"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B1861A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B.I.2.-</w:t>
            </w:r>
          </w:p>
        </w:tc>
        <w:tc>
          <w:tcPr>
            <w:tcW w:w="2160" w:type="dxa"/>
            <w:tcBorders>
              <w:top w:val="nil"/>
              <w:left w:val="nil"/>
              <w:bottom w:val="single" w:sz="8" w:space="0" w:color="auto"/>
              <w:right w:val="single" w:sz="8" w:space="0" w:color="auto"/>
            </w:tcBorders>
            <w:shd w:val="clear" w:color="auto" w:fill="auto"/>
            <w:vAlign w:val="center"/>
            <w:hideMark/>
          </w:tcPr>
          <w:p w14:paraId="01680F8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długoterminowa</w:t>
            </w:r>
          </w:p>
        </w:tc>
        <w:tc>
          <w:tcPr>
            <w:tcW w:w="1740" w:type="dxa"/>
            <w:tcBorders>
              <w:top w:val="nil"/>
              <w:left w:val="nil"/>
              <w:bottom w:val="single" w:sz="8" w:space="0" w:color="auto"/>
              <w:right w:val="single" w:sz="8" w:space="0" w:color="auto"/>
            </w:tcBorders>
            <w:shd w:val="clear" w:color="auto" w:fill="auto"/>
            <w:vAlign w:val="center"/>
            <w:hideMark/>
          </w:tcPr>
          <w:p w14:paraId="1028742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2 400 000,00</w:t>
            </w:r>
          </w:p>
        </w:tc>
        <w:tc>
          <w:tcPr>
            <w:tcW w:w="2140" w:type="dxa"/>
            <w:tcBorders>
              <w:top w:val="nil"/>
              <w:left w:val="nil"/>
              <w:bottom w:val="single" w:sz="8" w:space="0" w:color="auto"/>
              <w:right w:val="single" w:sz="8" w:space="0" w:color="auto"/>
            </w:tcBorders>
            <w:shd w:val="clear" w:color="auto" w:fill="auto"/>
            <w:vAlign w:val="center"/>
            <w:hideMark/>
          </w:tcPr>
          <w:p w14:paraId="7AFDBCC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2 200 000,00</w:t>
            </w:r>
          </w:p>
        </w:tc>
        <w:tc>
          <w:tcPr>
            <w:tcW w:w="2140" w:type="dxa"/>
            <w:tcBorders>
              <w:top w:val="nil"/>
              <w:left w:val="nil"/>
              <w:bottom w:val="single" w:sz="8" w:space="0" w:color="auto"/>
              <w:right w:val="single" w:sz="8" w:space="0" w:color="auto"/>
            </w:tcBorders>
            <w:shd w:val="clear" w:color="auto" w:fill="auto"/>
            <w:vAlign w:val="center"/>
            <w:hideMark/>
          </w:tcPr>
          <w:p w14:paraId="7340599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2 000 000,00</w:t>
            </w:r>
          </w:p>
        </w:tc>
      </w:tr>
      <w:tr w:rsidR="00906F48" w:rsidRPr="00906F48" w14:paraId="25D49FAD"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D53D86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B.I.2.-</w:t>
            </w:r>
          </w:p>
        </w:tc>
        <w:tc>
          <w:tcPr>
            <w:tcW w:w="2160" w:type="dxa"/>
            <w:tcBorders>
              <w:top w:val="nil"/>
              <w:left w:val="nil"/>
              <w:bottom w:val="single" w:sz="8" w:space="0" w:color="auto"/>
              <w:right w:val="single" w:sz="8" w:space="0" w:color="auto"/>
            </w:tcBorders>
            <w:shd w:val="clear" w:color="auto" w:fill="auto"/>
            <w:vAlign w:val="center"/>
            <w:hideMark/>
          </w:tcPr>
          <w:p w14:paraId="64A128C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krótkoterminowa</w:t>
            </w:r>
          </w:p>
        </w:tc>
        <w:tc>
          <w:tcPr>
            <w:tcW w:w="1740" w:type="dxa"/>
            <w:tcBorders>
              <w:top w:val="nil"/>
              <w:left w:val="nil"/>
              <w:bottom w:val="single" w:sz="8" w:space="0" w:color="auto"/>
              <w:right w:val="single" w:sz="8" w:space="0" w:color="auto"/>
            </w:tcBorders>
            <w:shd w:val="clear" w:color="auto" w:fill="auto"/>
            <w:vAlign w:val="center"/>
            <w:hideMark/>
          </w:tcPr>
          <w:p w14:paraId="15A639D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500 000,00</w:t>
            </w:r>
          </w:p>
        </w:tc>
        <w:tc>
          <w:tcPr>
            <w:tcW w:w="2140" w:type="dxa"/>
            <w:tcBorders>
              <w:top w:val="nil"/>
              <w:left w:val="nil"/>
              <w:bottom w:val="single" w:sz="8" w:space="0" w:color="auto"/>
              <w:right w:val="single" w:sz="8" w:space="0" w:color="auto"/>
            </w:tcBorders>
            <w:shd w:val="clear" w:color="auto" w:fill="auto"/>
            <w:vAlign w:val="center"/>
            <w:hideMark/>
          </w:tcPr>
          <w:p w14:paraId="2505443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450 000,00</w:t>
            </w:r>
          </w:p>
        </w:tc>
        <w:tc>
          <w:tcPr>
            <w:tcW w:w="2140" w:type="dxa"/>
            <w:tcBorders>
              <w:top w:val="nil"/>
              <w:left w:val="nil"/>
              <w:bottom w:val="single" w:sz="8" w:space="0" w:color="auto"/>
              <w:right w:val="single" w:sz="8" w:space="0" w:color="auto"/>
            </w:tcBorders>
            <w:shd w:val="clear" w:color="auto" w:fill="auto"/>
            <w:vAlign w:val="center"/>
            <w:hideMark/>
          </w:tcPr>
          <w:p w14:paraId="5616054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400 000,00</w:t>
            </w:r>
          </w:p>
        </w:tc>
      </w:tr>
      <w:tr w:rsidR="00906F48" w:rsidRPr="00906F48" w14:paraId="7D70AD6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8FE7C7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B.I.3.</w:t>
            </w:r>
          </w:p>
        </w:tc>
        <w:tc>
          <w:tcPr>
            <w:tcW w:w="2160" w:type="dxa"/>
            <w:tcBorders>
              <w:top w:val="nil"/>
              <w:left w:val="nil"/>
              <w:bottom w:val="single" w:sz="8" w:space="0" w:color="auto"/>
              <w:right w:val="single" w:sz="8" w:space="0" w:color="auto"/>
            </w:tcBorders>
            <w:shd w:val="clear" w:color="auto" w:fill="auto"/>
            <w:vAlign w:val="center"/>
            <w:hideMark/>
          </w:tcPr>
          <w:p w14:paraId="05FB0D6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Pozostałe rezerwy</w:t>
            </w:r>
          </w:p>
        </w:tc>
        <w:tc>
          <w:tcPr>
            <w:tcW w:w="1740" w:type="dxa"/>
            <w:tcBorders>
              <w:top w:val="nil"/>
              <w:left w:val="nil"/>
              <w:bottom w:val="single" w:sz="8" w:space="0" w:color="auto"/>
              <w:right w:val="single" w:sz="8" w:space="0" w:color="auto"/>
            </w:tcBorders>
            <w:shd w:val="clear" w:color="auto" w:fill="auto"/>
            <w:vAlign w:val="center"/>
            <w:hideMark/>
          </w:tcPr>
          <w:p w14:paraId="0B3CCB4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65048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0F4767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28EB95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6B95F3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B.I.3.-</w:t>
            </w:r>
          </w:p>
        </w:tc>
        <w:tc>
          <w:tcPr>
            <w:tcW w:w="2160" w:type="dxa"/>
            <w:tcBorders>
              <w:top w:val="nil"/>
              <w:left w:val="nil"/>
              <w:bottom w:val="single" w:sz="8" w:space="0" w:color="auto"/>
              <w:right w:val="single" w:sz="8" w:space="0" w:color="auto"/>
            </w:tcBorders>
            <w:shd w:val="clear" w:color="auto" w:fill="auto"/>
            <w:vAlign w:val="center"/>
            <w:hideMark/>
          </w:tcPr>
          <w:p w14:paraId="7087E67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długoterminowe</w:t>
            </w:r>
          </w:p>
        </w:tc>
        <w:tc>
          <w:tcPr>
            <w:tcW w:w="1740" w:type="dxa"/>
            <w:tcBorders>
              <w:top w:val="nil"/>
              <w:left w:val="nil"/>
              <w:bottom w:val="single" w:sz="8" w:space="0" w:color="auto"/>
              <w:right w:val="single" w:sz="8" w:space="0" w:color="auto"/>
            </w:tcBorders>
            <w:shd w:val="clear" w:color="auto" w:fill="auto"/>
            <w:vAlign w:val="center"/>
            <w:hideMark/>
          </w:tcPr>
          <w:p w14:paraId="28A0BF9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9E1E5D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A3AF32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13EF62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868415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B.I.3.-</w:t>
            </w:r>
          </w:p>
        </w:tc>
        <w:tc>
          <w:tcPr>
            <w:tcW w:w="2160" w:type="dxa"/>
            <w:tcBorders>
              <w:top w:val="nil"/>
              <w:left w:val="nil"/>
              <w:bottom w:val="single" w:sz="8" w:space="0" w:color="auto"/>
              <w:right w:val="single" w:sz="8" w:space="0" w:color="auto"/>
            </w:tcBorders>
            <w:shd w:val="clear" w:color="auto" w:fill="auto"/>
            <w:vAlign w:val="center"/>
            <w:hideMark/>
          </w:tcPr>
          <w:p w14:paraId="429EF26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krótkoterminowe</w:t>
            </w:r>
          </w:p>
        </w:tc>
        <w:tc>
          <w:tcPr>
            <w:tcW w:w="1740" w:type="dxa"/>
            <w:tcBorders>
              <w:top w:val="nil"/>
              <w:left w:val="nil"/>
              <w:bottom w:val="single" w:sz="8" w:space="0" w:color="auto"/>
              <w:right w:val="single" w:sz="8" w:space="0" w:color="auto"/>
            </w:tcBorders>
            <w:shd w:val="clear" w:color="auto" w:fill="auto"/>
            <w:vAlign w:val="center"/>
            <w:hideMark/>
          </w:tcPr>
          <w:p w14:paraId="66C55C4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C724FA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867CD6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45FFC1B" w14:textId="77777777" w:rsidTr="00906F48">
        <w:trPr>
          <w:trHeight w:val="705"/>
        </w:trPr>
        <w:tc>
          <w:tcPr>
            <w:tcW w:w="1520" w:type="dxa"/>
            <w:tcBorders>
              <w:top w:val="nil"/>
              <w:left w:val="single" w:sz="8" w:space="0" w:color="auto"/>
              <w:bottom w:val="single" w:sz="4" w:space="0" w:color="auto"/>
              <w:right w:val="single" w:sz="8" w:space="0" w:color="auto"/>
            </w:tcBorders>
            <w:shd w:val="clear" w:color="000000" w:fill="FFFFFF"/>
            <w:vAlign w:val="center"/>
            <w:hideMark/>
          </w:tcPr>
          <w:p w14:paraId="37760FEF"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B.II.</w:t>
            </w:r>
          </w:p>
        </w:tc>
        <w:tc>
          <w:tcPr>
            <w:tcW w:w="2160" w:type="dxa"/>
            <w:tcBorders>
              <w:top w:val="nil"/>
              <w:left w:val="nil"/>
              <w:bottom w:val="single" w:sz="4" w:space="0" w:color="auto"/>
              <w:right w:val="single" w:sz="8" w:space="0" w:color="auto"/>
            </w:tcBorders>
            <w:shd w:val="clear" w:color="000000" w:fill="FFFFFF"/>
            <w:vAlign w:val="center"/>
            <w:hideMark/>
          </w:tcPr>
          <w:p w14:paraId="474E0E8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Zobowiązania długoterminowe</w:t>
            </w:r>
          </w:p>
        </w:tc>
        <w:tc>
          <w:tcPr>
            <w:tcW w:w="1740" w:type="dxa"/>
            <w:tcBorders>
              <w:top w:val="nil"/>
              <w:left w:val="nil"/>
              <w:bottom w:val="single" w:sz="4" w:space="0" w:color="auto"/>
              <w:right w:val="single" w:sz="8" w:space="0" w:color="auto"/>
            </w:tcBorders>
            <w:shd w:val="clear" w:color="auto" w:fill="auto"/>
            <w:vAlign w:val="center"/>
            <w:hideMark/>
          </w:tcPr>
          <w:p w14:paraId="18902E8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2 500 000,00</w:t>
            </w:r>
          </w:p>
        </w:tc>
        <w:tc>
          <w:tcPr>
            <w:tcW w:w="2140" w:type="dxa"/>
            <w:tcBorders>
              <w:top w:val="nil"/>
              <w:left w:val="nil"/>
              <w:bottom w:val="single" w:sz="4" w:space="0" w:color="auto"/>
              <w:right w:val="single" w:sz="8" w:space="0" w:color="auto"/>
            </w:tcBorders>
            <w:shd w:val="clear" w:color="auto" w:fill="auto"/>
            <w:vAlign w:val="center"/>
            <w:hideMark/>
          </w:tcPr>
          <w:p w14:paraId="6E56CB6F"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2 000 000,00</w:t>
            </w:r>
          </w:p>
        </w:tc>
        <w:tc>
          <w:tcPr>
            <w:tcW w:w="2140" w:type="dxa"/>
            <w:tcBorders>
              <w:top w:val="nil"/>
              <w:left w:val="nil"/>
              <w:bottom w:val="single" w:sz="4" w:space="0" w:color="auto"/>
              <w:right w:val="single" w:sz="8" w:space="0" w:color="auto"/>
            </w:tcBorders>
            <w:shd w:val="clear" w:color="auto" w:fill="auto"/>
            <w:vAlign w:val="center"/>
            <w:hideMark/>
          </w:tcPr>
          <w:p w14:paraId="12C756F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1 700 000,00</w:t>
            </w:r>
          </w:p>
        </w:tc>
      </w:tr>
      <w:tr w:rsidR="00906F48" w:rsidRPr="00906F48" w14:paraId="6FB768D5"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15738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B.II.1.</w:t>
            </w:r>
          </w:p>
        </w:tc>
        <w:tc>
          <w:tcPr>
            <w:tcW w:w="2160" w:type="dxa"/>
            <w:tcBorders>
              <w:top w:val="nil"/>
              <w:left w:val="nil"/>
              <w:bottom w:val="single" w:sz="8" w:space="0" w:color="auto"/>
              <w:right w:val="single" w:sz="8" w:space="0" w:color="auto"/>
            </w:tcBorders>
            <w:shd w:val="clear" w:color="000000" w:fill="FFFFFF"/>
            <w:vAlign w:val="center"/>
            <w:hideMark/>
          </w:tcPr>
          <w:p w14:paraId="3A0D42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Wobec jednostek powiązanych</w:t>
            </w:r>
          </w:p>
        </w:tc>
        <w:tc>
          <w:tcPr>
            <w:tcW w:w="1740" w:type="dxa"/>
            <w:tcBorders>
              <w:top w:val="nil"/>
              <w:left w:val="nil"/>
              <w:bottom w:val="single" w:sz="8" w:space="0" w:color="auto"/>
              <w:right w:val="single" w:sz="8" w:space="0" w:color="auto"/>
            </w:tcBorders>
            <w:shd w:val="clear" w:color="auto" w:fill="auto"/>
            <w:vAlign w:val="center"/>
            <w:hideMark/>
          </w:tcPr>
          <w:p w14:paraId="29BA405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94417C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745158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696D705" w14:textId="77777777" w:rsidTr="00906F48">
        <w:trPr>
          <w:trHeight w:val="12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6A3DA23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B.II.2.</w:t>
            </w:r>
          </w:p>
        </w:tc>
        <w:tc>
          <w:tcPr>
            <w:tcW w:w="2160" w:type="dxa"/>
            <w:tcBorders>
              <w:top w:val="nil"/>
              <w:left w:val="nil"/>
              <w:bottom w:val="single" w:sz="8" w:space="0" w:color="auto"/>
              <w:right w:val="single" w:sz="8" w:space="0" w:color="auto"/>
            </w:tcBorders>
            <w:shd w:val="clear" w:color="000000" w:fill="FFFFFF"/>
            <w:vAlign w:val="center"/>
            <w:hideMark/>
          </w:tcPr>
          <w:p w14:paraId="59844AE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Wobec pozostałych jednostek, w których jednostka posiada zaangażowanie w kapitale</w:t>
            </w:r>
          </w:p>
        </w:tc>
        <w:tc>
          <w:tcPr>
            <w:tcW w:w="1740" w:type="dxa"/>
            <w:tcBorders>
              <w:top w:val="nil"/>
              <w:left w:val="nil"/>
              <w:bottom w:val="single" w:sz="8" w:space="0" w:color="auto"/>
              <w:right w:val="single" w:sz="8" w:space="0" w:color="auto"/>
            </w:tcBorders>
            <w:shd w:val="clear" w:color="auto" w:fill="auto"/>
            <w:vAlign w:val="center"/>
            <w:hideMark/>
          </w:tcPr>
          <w:p w14:paraId="4339771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E9AE05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69E00F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0CE7E7D"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3C3C0D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w:t>
            </w:r>
          </w:p>
        </w:tc>
        <w:tc>
          <w:tcPr>
            <w:tcW w:w="2160" w:type="dxa"/>
            <w:tcBorders>
              <w:top w:val="nil"/>
              <w:left w:val="nil"/>
              <w:bottom w:val="single" w:sz="8" w:space="0" w:color="auto"/>
              <w:right w:val="single" w:sz="8" w:space="0" w:color="auto"/>
            </w:tcBorders>
            <w:shd w:val="clear" w:color="auto" w:fill="auto"/>
            <w:vAlign w:val="center"/>
            <w:hideMark/>
          </w:tcPr>
          <w:p w14:paraId="37CAEDA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Wobec pozostałych jednostek</w:t>
            </w:r>
          </w:p>
        </w:tc>
        <w:tc>
          <w:tcPr>
            <w:tcW w:w="1740" w:type="dxa"/>
            <w:tcBorders>
              <w:top w:val="nil"/>
              <w:left w:val="nil"/>
              <w:bottom w:val="single" w:sz="8" w:space="0" w:color="auto"/>
              <w:right w:val="single" w:sz="8" w:space="0" w:color="auto"/>
            </w:tcBorders>
            <w:shd w:val="clear" w:color="auto" w:fill="auto"/>
            <w:vAlign w:val="center"/>
            <w:hideMark/>
          </w:tcPr>
          <w:p w14:paraId="7F0AD90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2 500 000,00</w:t>
            </w:r>
          </w:p>
        </w:tc>
        <w:tc>
          <w:tcPr>
            <w:tcW w:w="2140" w:type="dxa"/>
            <w:tcBorders>
              <w:top w:val="nil"/>
              <w:left w:val="nil"/>
              <w:bottom w:val="single" w:sz="8" w:space="0" w:color="auto"/>
              <w:right w:val="single" w:sz="8" w:space="0" w:color="auto"/>
            </w:tcBorders>
            <w:shd w:val="clear" w:color="auto" w:fill="auto"/>
            <w:vAlign w:val="center"/>
            <w:hideMark/>
          </w:tcPr>
          <w:p w14:paraId="5E34F3C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2 000 000,00</w:t>
            </w:r>
          </w:p>
        </w:tc>
        <w:tc>
          <w:tcPr>
            <w:tcW w:w="2140" w:type="dxa"/>
            <w:tcBorders>
              <w:top w:val="nil"/>
              <w:left w:val="nil"/>
              <w:bottom w:val="single" w:sz="8" w:space="0" w:color="auto"/>
              <w:right w:val="single" w:sz="8" w:space="0" w:color="auto"/>
            </w:tcBorders>
            <w:shd w:val="clear" w:color="auto" w:fill="auto"/>
            <w:vAlign w:val="center"/>
            <w:hideMark/>
          </w:tcPr>
          <w:p w14:paraId="3079EEE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1 700 000,00</w:t>
            </w:r>
          </w:p>
        </w:tc>
      </w:tr>
      <w:tr w:rsidR="00906F48" w:rsidRPr="00906F48" w14:paraId="57A1465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CD75D3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B.II.3.a.</w:t>
            </w:r>
          </w:p>
        </w:tc>
        <w:tc>
          <w:tcPr>
            <w:tcW w:w="2160" w:type="dxa"/>
            <w:tcBorders>
              <w:top w:val="nil"/>
              <w:left w:val="nil"/>
              <w:bottom w:val="single" w:sz="8" w:space="0" w:color="auto"/>
              <w:right w:val="single" w:sz="8" w:space="0" w:color="auto"/>
            </w:tcBorders>
            <w:shd w:val="clear" w:color="auto" w:fill="auto"/>
            <w:vAlign w:val="center"/>
            <w:hideMark/>
          </w:tcPr>
          <w:p w14:paraId="0D1F349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kredyty i pożyczki</w:t>
            </w:r>
          </w:p>
        </w:tc>
        <w:tc>
          <w:tcPr>
            <w:tcW w:w="1740" w:type="dxa"/>
            <w:tcBorders>
              <w:top w:val="nil"/>
              <w:left w:val="nil"/>
              <w:bottom w:val="single" w:sz="8" w:space="0" w:color="auto"/>
              <w:right w:val="single" w:sz="8" w:space="0" w:color="auto"/>
            </w:tcBorders>
            <w:shd w:val="clear" w:color="auto" w:fill="auto"/>
            <w:vAlign w:val="center"/>
            <w:hideMark/>
          </w:tcPr>
          <w:p w14:paraId="01303349"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2 500 000,00</w:t>
            </w:r>
          </w:p>
        </w:tc>
        <w:tc>
          <w:tcPr>
            <w:tcW w:w="2140" w:type="dxa"/>
            <w:tcBorders>
              <w:top w:val="nil"/>
              <w:left w:val="nil"/>
              <w:bottom w:val="single" w:sz="8" w:space="0" w:color="auto"/>
              <w:right w:val="single" w:sz="8" w:space="0" w:color="auto"/>
            </w:tcBorders>
            <w:shd w:val="clear" w:color="auto" w:fill="auto"/>
            <w:vAlign w:val="center"/>
            <w:hideMark/>
          </w:tcPr>
          <w:p w14:paraId="312C2920"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2 000 000,00</w:t>
            </w:r>
          </w:p>
        </w:tc>
        <w:tc>
          <w:tcPr>
            <w:tcW w:w="2140" w:type="dxa"/>
            <w:tcBorders>
              <w:top w:val="nil"/>
              <w:left w:val="nil"/>
              <w:bottom w:val="single" w:sz="8" w:space="0" w:color="auto"/>
              <w:right w:val="single" w:sz="8" w:space="0" w:color="auto"/>
            </w:tcBorders>
            <w:shd w:val="clear" w:color="auto" w:fill="auto"/>
            <w:vAlign w:val="center"/>
            <w:hideMark/>
          </w:tcPr>
          <w:p w14:paraId="06326D8C"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1 700 000,00</w:t>
            </w:r>
          </w:p>
        </w:tc>
      </w:tr>
      <w:tr w:rsidR="00906F48" w:rsidRPr="00906F48" w14:paraId="61F4E8FC"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113B1A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B.II.3.b.</w:t>
            </w:r>
          </w:p>
        </w:tc>
        <w:tc>
          <w:tcPr>
            <w:tcW w:w="2160" w:type="dxa"/>
            <w:tcBorders>
              <w:top w:val="nil"/>
              <w:left w:val="nil"/>
              <w:bottom w:val="single" w:sz="8" w:space="0" w:color="auto"/>
              <w:right w:val="single" w:sz="8" w:space="0" w:color="auto"/>
            </w:tcBorders>
            <w:shd w:val="clear" w:color="auto" w:fill="auto"/>
            <w:vAlign w:val="center"/>
            <w:hideMark/>
          </w:tcPr>
          <w:p w14:paraId="4B9377E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emisji dłużnych papierów wartościowych</w:t>
            </w:r>
          </w:p>
        </w:tc>
        <w:tc>
          <w:tcPr>
            <w:tcW w:w="1740" w:type="dxa"/>
            <w:tcBorders>
              <w:top w:val="nil"/>
              <w:left w:val="nil"/>
              <w:bottom w:val="single" w:sz="8" w:space="0" w:color="auto"/>
              <w:right w:val="single" w:sz="8" w:space="0" w:color="auto"/>
            </w:tcBorders>
            <w:shd w:val="clear" w:color="auto" w:fill="auto"/>
            <w:vAlign w:val="center"/>
            <w:hideMark/>
          </w:tcPr>
          <w:p w14:paraId="736C057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21AFF6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0C3C8A3" w14:textId="0F8C849E" w:rsidR="00906F48" w:rsidRPr="00906F48" w:rsidRDefault="00471701" w:rsidP="00906F48">
            <w:pPr>
              <w:suppressAutoHyphens w:val="0"/>
              <w:spacing w:line="240" w:lineRule="auto"/>
              <w:jc w:val="center"/>
              <w:rPr>
                <w:i/>
                <w:iCs/>
                <w:sz w:val="20"/>
                <w:szCs w:val="20"/>
                <w:lang w:eastAsia="pl-PL"/>
              </w:rPr>
            </w:pPr>
            <w:r>
              <w:rPr>
                <w:i/>
                <w:iCs/>
                <w:sz w:val="20"/>
                <w:szCs w:val="20"/>
                <w:lang w:eastAsia="pl-PL"/>
              </w:rPr>
              <w:t>0</w:t>
            </w:r>
            <w:r w:rsidR="00906F48" w:rsidRPr="00906F48">
              <w:rPr>
                <w:i/>
                <w:iCs/>
                <w:sz w:val="20"/>
                <w:szCs w:val="20"/>
                <w:lang w:eastAsia="pl-PL"/>
              </w:rPr>
              <w:t>,</w:t>
            </w:r>
            <w:r>
              <w:rPr>
                <w:i/>
                <w:iCs/>
                <w:sz w:val="20"/>
                <w:szCs w:val="20"/>
                <w:lang w:eastAsia="pl-PL"/>
              </w:rPr>
              <w:t>00</w:t>
            </w:r>
          </w:p>
        </w:tc>
      </w:tr>
      <w:tr w:rsidR="00906F48" w:rsidRPr="00906F48" w14:paraId="27AEF41B"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B9AE83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B.II.3.c.</w:t>
            </w:r>
          </w:p>
        </w:tc>
        <w:tc>
          <w:tcPr>
            <w:tcW w:w="2160" w:type="dxa"/>
            <w:tcBorders>
              <w:top w:val="nil"/>
              <w:left w:val="nil"/>
              <w:bottom w:val="single" w:sz="8" w:space="0" w:color="auto"/>
              <w:right w:val="single" w:sz="8" w:space="0" w:color="auto"/>
            </w:tcBorders>
            <w:shd w:val="clear" w:color="auto" w:fill="auto"/>
            <w:vAlign w:val="center"/>
            <w:hideMark/>
          </w:tcPr>
          <w:p w14:paraId="50CC13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zobowiązania finansowe</w:t>
            </w:r>
          </w:p>
        </w:tc>
        <w:tc>
          <w:tcPr>
            <w:tcW w:w="1740" w:type="dxa"/>
            <w:tcBorders>
              <w:top w:val="nil"/>
              <w:left w:val="nil"/>
              <w:bottom w:val="single" w:sz="8" w:space="0" w:color="auto"/>
              <w:right w:val="single" w:sz="8" w:space="0" w:color="auto"/>
            </w:tcBorders>
            <w:shd w:val="clear" w:color="auto" w:fill="auto"/>
            <w:vAlign w:val="center"/>
            <w:hideMark/>
          </w:tcPr>
          <w:p w14:paraId="401D767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555F63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DD4618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DE0561F"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DD764C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B.II.3.d.</w:t>
            </w:r>
          </w:p>
        </w:tc>
        <w:tc>
          <w:tcPr>
            <w:tcW w:w="2160" w:type="dxa"/>
            <w:tcBorders>
              <w:top w:val="nil"/>
              <w:left w:val="nil"/>
              <w:bottom w:val="single" w:sz="8" w:space="0" w:color="auto"/>
              <w:right w:val="single" w:sz="8" w:space="0" w:color="auto"/>
            </w:tcBorders>
            <w:shd w:val="clear" w:color="auto" w:fill="auto"/>
            <w:vAlign w:val="center"/>
            <w:hideMark/>
          </w:tcPr>
          <w:p w14:paraId="4B42369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zobowiązania wekslowe</w:t>
            </w:r>
          </w:p>
        </w:tc>
        <w:tc>
          <w:tcPr>
            <w:tcW w:w="1740" w:type="dxa"/>
            <w:tcBorders>
              <w:top w:val="nil"/>
              <w:left w:val="nil"/>
              <w:bottom w:val="single" w:sz="8" w:space="0" w:color="auto"/>
              <w:right w:val="single" w:sz="8" w:space="0" w:color="auto"/>
            </w:tcBorders>
            <w:shd w:val="clear" w:color="auto" w:fill="auto"/>
            <w:vAlign w:val="center"/>
            <w:hideMark/>
          </w:tcPr>
          <w:p w14:paraId="4635AC2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41A37D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CDC637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D8EFB3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254BC3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B.II.3.e.</w:t>
            </w:r>
          </w:p>
        </w:tc>
        <w:tc>
          <w:tcPr>
            <w:tcW w:w="2160" w:type="dxa"/>
            <w:tcBorders>
              <w:top w:val="nil"/>
              <w:left w:val="nil"/>
              <w:bottom w:val="single" w:sz="8" w:space="0" w:color="auto"/>
              <w:right w:val="single" w:sz="8" w:space="0" w:color="auto"/>
            </w:tcBorders>
            <w:shd w:val="clear" w:color="auto" w:fill="auto"/>
            <w:vAlign w:val="center"/>
            <w:hideMark/>
          </w:tcPr>
          <w:p w14:paraId="67C4E1A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0712419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26B7AA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04E0E7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1A2A64D"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1479DE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B.III.</w:t>
            </w:r>
          </w:p>
        </w:tc>
        <w:tc>
          <w:tcPr>
            <w:tcW w:w="2160" w:type="dxa"/>
            <w:tcBorders>
              <w:top w:val="nil"/>
              <w:left w:val="nil"/>
              <w:bottom w:val="single" w:sz="8" w:space="0" w:color="auto"/>
              <w:right w:val="single" w:sz="8" w:space="0" w:color="auto"/>
            </w:tcBorders>
            <w:shd w:val="clear" w:color="000000" w:fill="FFFFFF"/>
            <w:vAlign w:val="center"/>
            <w:hideMark/>
          </w:tcPr>
          <w:p w14:paraId="43829B76"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Zobowiązania krótkoterminowe</w:t>
            </w:r>
          </w:p>
        </w:tc>
        <w:tc>
          <w:tcPr>
            <w:tcW w:w="1740" w:type="dxa"/>
            <w:tcBorders>
              <w:top w:val="nil"/>
              <w:left w:val="nil"/>
              <w:bottom w:val="single" w:sz="8" w:space="0" w:color="auto"/>
              <w:right w:val="single" w:sz="8" w:space="0" w:color="auto"/>
            </w:tcBorders>
            <w:shd w:val="clear" w:color="auto" w:fill="auto"/>
            <w:vAlign w:val="center"/>
            <w:hideMark/>
          </w:tcPr>
          <w:p w14:paraId="0492DC35"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6 240 000,00</w:t>
            </w:r>
          </w:p>
        </w:tc>
        <w:tc>
          <w:tcPr>
            <w:tcW w:w="2140" w:type="dxa"/>
            <w:tcBorders>
              <w:top w:val="nil"/>
              <w:left w:val="nil"/>
              <w:bottom w:val="single" w:sz="8" w:space="0" w:color="auto"/>
              <w:right w:val="single" w:sz="8" w:space="0" w:color="auto"/>
            </w:tcBorders>
            <w:shd w:val="clear" w:color="auto" w:fill="auto"/>
            <w:vAlign w:val="center"/>
            <w:hideMark/>
          </w:tcPr>
          <w:p w14:paraId="111684AB"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6 350 000,00</w:t>
            </w:r>
          </w:p>
        </w:tc>
        <w:tc>
          <w:tcPr>
            <w:tcW w:w="2140" w:type="dxa"/>
            <w:tcBorders>
              <w:top w:val="nil"/>
              <w:left w:val="nil"/>
              <w:bottom w:val="single" w:sz="8" w:space="0" w:color="auto"/>
              <w:right w:val="single" w:sz="8" w:space="0" w:color="auto"/>
            </w:tcBorders>
            <w:shd w:val="clear" w:color="auto" w:fill="auto"/>
            <w:vAlign w:val="center"/>
            <w:hideMark/>
          </w:tcPr>
          <w:p w14:paraId="27EC5C6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6 470 000,00</w:t>
            </w:r>
          </w:p>
        </w:tc>
      </w:tr>
      <w:tr w:rsidR="00906F48" w:rsidRPr="00906F48" w14:paraId="49367678"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7D2B69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w:t>
            </w:r>
          </w:p>
        </w:tc>
        <w:tc>
          <w:tcPr>
            <w:tcW w:w="2160" w:type="dxa"/>
            <w:tcBorders>
              <w:top w:val="nil"/>
              <w:left w:val="nil"/>
              <w:bottom w:val="single" w:sz="8" w:space="0" w:color="auto"/>
              <w:right w:val="single" w:sz="8" w:space="0" w:color="auto"/>
            </w:tcBorders>
            <w:shd w:val="clear" w:color="000000" w:fill="FFFFFF"/>
            <w:vAlign w:val="center"/>
            <w:hideMark/>
          </w:tcPr>
          <w:p w14:paraId="79B441F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Zobowiązania wobec jednostek powiązanych</w:t>
            </w:r>
          </w:p>
        </w:tc>
        <w:tc>
          <w:tcPr>
            <w:tcW w:w="1740" w:type="dxa"/>
            <w:tcBorders>
              <w:top w:val="nil"/>
              <w:left w:val="nil"/>
              <w:bottom w:val="single" w:sz="8" w:space="0" w:color="auto"/>
              <w:right w:val="single" w:sz="8" w:space="0" w:color="auto"/>
            </w:tcBorders>
            <w:shd w:val="clear" w:color="auto" w:fill="auto"/>
            <w:vAlign w:val="center"/>
            <w:hideMark/>
          </w:tcPr>
          <w:p w14:paraId="135332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79B941B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31AE0F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2B653085"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96BBF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45A405E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o okresie wymagalności:</w:t>
            </w:r>
          </w:p>
        </w:tc>
        <w:tc>
          <w:tcPr>
            <w:tcW w:w="1740" w:type="dxa"/>
            <w:tcBorders>
              <w:top w:val="nil"/>
              <w:left w:val="nil"/>
              <w:bottom w:val="single" w:sz="8" w:space="0" w:color="auto"/>
              <w:right w:val="single" w:sz="8" w:space="0" w:color="auto"/>
            </w:tcBorders>
            <w:shd w:val="clear" w:color="auto" w:fill="auto"/>
            <w:vAlign w:val="center"/>
            <w:hideMark/>
          </w:tcPr>
          <w:p w14:paraId="4083CE3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B8A85D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C3C967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D67961B"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6403174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65A040F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4FE9964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F370B5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DBBEC5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46B7E597"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9F6805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50A6979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2212841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B61AF4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D8E49F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E9146DE"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7EFA4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60" w:type="dxa"/>
            <w:tcBorders>
              <w:top w:val="nil"/>
              <w:left w:val="nil"/>
              <w:bottom w:val="single" w:sz="8" w:space="0" w:color="auto"/>
              <w:right w:val="single" w:sz="8" w:space="0" w:color="auto"/>
            </w:tcBorders>
            <w:shd w:val="clear" w:color="auto" w:fill="auto"/>
            <w:vAlign w:val="center"/>
            <w:hideMark/>
          </w:tcPr>
          <w:p w14:paraId="5F83C9E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5DE4A63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7CA426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5627E3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61F1AA4D" w14:textId="77777777" w:rsidTr="00906F48">
        <w:trPr>
          <w:trHeight w:val="12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6589DA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w:t>
            </w:r>
          </w:p>
        </w:tc>
        <w:tc>
          <w:tcPr>
            <w:tcW w:w="2160" w:type="dxa"/>
            <w:tcBorders>
              <w:top w:val="nil"/>
              <w:left w:val="nil"/>
              <w:bottom w:val="single" w:sz="8" w:space="0" w:color="auto"/>
              <w:right w:val="single" w:sz="8" w:space="0" w:color="auto"/>
            </w:tcBorders>
            <w:shd w:val="clear" w:color="auto" w:fill="auto"/>
            <w:vAlign w:val="center"/>
            <w:hideMark/>
          </w:tcPr>
          <w:p w14:paraId="30A4AB7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Zobowiązania wobec pozostałych jednostek, w których jednostka posiada zaangażowanie w kapitale</w:t>
            </w:r>
          </w:p>
        </w:tc>
        <w:tc>
          <w:tcPr>
            <w:tcW w:w="1740" w:type="dxa"/>
            <w:tcBorders>
              <w:top w:val="nil"/>
              <w:left w:val="nil"/>
              <w:bottom w:val="single" w:sz="8" w:space="0" w:color="auto"/>
              <w:right w:val="single" w:sz="8" w:space="0" w:color="auto"/>
            </w:tcBorders>
            <w:shd w:val="clear" w:color="auto" w:fill="auto"/>
            <w:vAlign w:val="center"/>
            <w:hideMark/>
          </w:tcPr>
          <w:p w14:paraId="3852DCF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DF4607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325F3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5EBDC5B"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F1F33D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3B140D0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o okresie wymagalności:</w:t>
            </w:r>
          </w:p>
        </w:tc>
        <w:tc>
          <w:tcPr>
            <w:tcW w:w="1740" w:type="dxa"/>
            <w:tcBorders>
              <w:top w:val="nil"/>
              <w:left w:val="nil"/>
              <w:bottom w:val="single" w:sz="8" w:space="0" w:color="auto"/>
              <w:right w:val="single" w:sz="8" w:space="0" w:color="auto"/>
            </w:tcBorders>
            <w:shd w:val="clear" w:color="auto" w:fill="auto"/>
            <w:vAlign w:val="center"/>
            <w:hideMark/>
          </w:tcPr>
          <w:p w14:paraId="0B459F0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8F30B0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EFA5DC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F799DA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47152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5A7F378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5D8147D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3AD3C1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7E6773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BD5A8C1"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7A0F8F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057CD10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206C18E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6E04B04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4EAB95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4D6388A5"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EB7E60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B.III.2.b.</w:t>
            </w:r>
          </w:p>
        </w:tc>
        <w:tc>
          <w:tcPr>
            <w:tcW w:w="2160" w:type="dxa"/>
            <w:tcBorders>
              <w:top w:val="nil"/>
              <w:left w:val="nil"/>
              <w:bottom w:val="single" w:sz="8" w:space="0" w:color="auto"/>
              <w:right w:val="single" w:sz="8" w:space="0" w:color="auto"/>
            </w:tcBorders>
            <w:shd w:val="clear" w:color="auto" w:fill="auto"/>
            <w:vAlign w:val="center"/>
            <w:hideMark/>
          </w:tcPr>
          <w:p w14:paraId="7FFF91C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0A892C5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B77729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40746C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18F6C643"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E7DF70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w:t>
            </w:r>
          </w:p>
        </w:tc>
        <w:tc>
          <w:tcPr>
            <w:tcW w:w="2160" w:type="dxa"/>
            <w:tcBorders>
              <w:top w:val="nil"/>
              <w:left w:val="nil"/>
              <w:bottom w:val="single" w:sz="8" w:space="0" w:color="auto"/>
              <w:right w:val="single" w:sz="8" w:space="0" w:color="auto"/>
            </w:tcBorders>
            <w:shd w:val="clear" w:color="auto" w:fill="auto"/>
            <w:vAlign w:val="center"/>
            <w:hideMark/>
          </w:tcPr>
          <w:p w14:paraId="417BE17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Zobowiązania wobec pozostałych jednostek</w:t>
            </w:r>
          </w:p>
        </w:tc>
        <w:tc>
          <w:tcPr>
            <w:tcW w:w="1740" w:type="dxa"/>
            <w:tcBorders>
              <w:top w:val="nil"/>
              <w:left w:val="nil"/>
              <w:bottom w:val="single" w:sz="8" w:space="0" w:color="auto"/>
              <w:right w:val="single" w:sz="8" w:space="0" w:color="auto"/>
            </w:tcBorders>
            <w:shd w:val="clear" w:color="auto" w:fill="auto"/>
            <w:vAlign w:val="center"/>
            <w:hideMark/>
          </w:tcPr>
          <w:p w14:paraId="4885D5D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5 950 000,00</w:t>
            </w:r>
          </w:p>
        </w:tc>
        <w:tc>
          <w:tcPr>
            <w:tcW w:w="2140" w:type="dxa"/>
            <w:tcBorders>
              <w:top w:val="nil"/>
              <w:left w:val="nil"/>
              <w:bottom w:val="single" w:sz="8" w:space="0" w:color="auto"/>
              <w:right w:val="single" w:sz="8" w:space="0" w:color="auto"/>
            </w:tcBorders>
            <w:shd w:val="clear" w:color="auto" w:fill="auto"/>
            <w:vAlign w:val="center"/>
            <w:hideMark/>
          </w:tcPr>
          <w:p w14:paraId="516A899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6 050 000,00</w:t>
            </w:r>
          </w:p>
        </w:tc>
        <w:tc>
          <w:tcPr>
            <w:tcW w:w="2140" w:type="dxa"/>
            <w:tcBorders>
              <w:top w:val="nil"/>
              <w:left w:val="nil"/>
              <w:bottom w:val="single" w:sz="8" w:space="0" w:color="auto"/>
              <w:right w:val="single" w:sz="8" w:space="0" w:color="auto"/>
            </w:tcBorders>
            <w:shd w:val="clear" w:color="auto" w:fill="auto"/>
            <w:vAlign w:val="center"/>
            <w:hideMark/>
          </w:tcPr>
          <w:p w14:paraId="7F2DBE9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6 150 000,00</w:t>
            </w:r>
          </w:p>
        </w:tc>
      </w:tr>
      <w:tr w:rsidR="00906F48" w:rsidRPr="00906F48" w14:paraId="4C0898BE"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E20AC6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B.III.3.a.</w:t>
            </w:r>
          </w:p>
        </w:tc>
        <w:tc>
          <w:tcPr>
            <w:tcW w:w="2160" w:type="dxa"/>
            <w:tcBorders>
              <w:top w:val="nil"/>
              <w:left w:val="nil"/>
              <w:bottom w:val="single" w:sz="8" w:space="0" w:color="auto"/>
              <w:right w:val="single" w:sz="8" w:space="0" w:color="auto"/>
            </w:tcBorders>
            <w:shd w:val="clear" w:color="auto" w:fill="auto"/>
            <w:vAlign w:val="center"/>
            <w:hideMark/>
          </w:tcPr>
          <w:p w14:paraId="5683419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kredyty i pożyczki</w:t>
            </w:r>
          </w:p>
        </w:tc>
        <w:tc>
          <w:tcPr>
            <w:tcW w:w="1740" w:type="dxa"/>
            <w:tcBorders>
              <w:top w:val="nil"/>
              <w:left w:val="nil"/>
              <w:bottom w:val="single" w:sz="8" w:space="0" w:color="auto"/>
              <w:right w:val="single" w:sz="8" w:space="0" w:color="auto"/>
            </w:tcBorders>
            <w:shd w:val="clear" w:color="auto" w:fill="auto"/>
            <w:vAlign w:val="center"/>
            <w:hideMark/>
          </w:tcPr>
          <w:p w14:paraId="0477101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1 500 000,00</w:t>
            </w:r>
          </w:p>
        </w:tc>
        <w:tc>
          <w:tcPr>
            <w:tcW w:w="2140" w:type="dxa"/>
            <w:tcBorders>
              <w:top w:val="nil"/>
              <w:left w:val="nil"/>
              <w:bottom w:val="single" w:sz="8" w:space="0" w:color="auto"/>
              <w:right w:val="single" w:sz="8" w:space="0" w:color="auto"/>
            </w:tcBorders>
            <w:shd w:val="clear" w:color="auto" w:fill="auto"/>
            <w:vAlign w:val="center"/>
            <w:hideMark/>
          </w:tcPr>
          <w:p w14:paraId="66B160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1 200 000,00</w:t>
            </w:r>
          </w:p>
        </w:tc>
        <w:tc>
          <w:tcPr>
            <w:tcW w:w="2140" w:type="dxa"/>
            <w:tcBorders>
              <w:top w:val="nil"/>
              <w:left w:val="nil"/>
              <w:bottom w:val="single" w:sz="8" w:space="0" w:color="auto"/>
              <w:right w:val="single" w:sz="8" w:space="0" w:color="auto"/>
            </w:tcBorders>
            <w:shd w:val="clear" w:color="auto" w:fill="auto"/>
            <w:vAlign w:val="center"/>
            <w:hideMark/>
          </w:tcPr>
          <w:p w14:paraId="3DC8664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900 000,00</w:t>
            </w:r>
          </w:p>
        </w:tc>
      </w:tr>
      <w:tr w:rsidR="00906F48" w:rsidRPr="00906F48" w14:paraId="6FAF943F"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0D8A0E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B.III.3.b.</w:t>
            </w:r>
          </w:p>
        </w:tc>
        <w:tc>
          <w:tcPr>
            <w:tcW w:w="2160" w:type="dxa"/>
            <w:tcBorders>
              <w:top w:val="nil"/>
              <w:left w:val="nil"/>
              <w:bottom w:val="single" w:sz="8" w:space="0" w:color="auto"/>
              <w:right w:val="single" w:sz="8" w:space="0" w:color="auto"/>
            </w:tcBorders>
            <w:shd w:val="clear" w:color="auto" w:fill="auto"/>
            <w:vAlign w:val="center"/>
            <w:hideMark/>
          </w:tcPr>
          <w:p w14:paraId="11A12BF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emisji dłużnych papierów wartościowych</w:t>
            </w:r>
          </w:p>
        </w:tc>
        <w:tc>
          <w:tcPr>
            <w:tcW w:w="1740" w:type="dxa"/>
            <w:tcBorders>
              <w:top w:val="nil"/>
              <w:left w:val="nil"/>
              <w:bottom w:val="single" w:sz="8" w:space="0" w:color="auto"/>
              <w:right w:val="single" w:sz="8" w:space="0" w:color="auto"/>
            </w:tcBorders>
            <w:shd w:val="clear" w:color="auto" w:fill="auto"/>
            <w:vAlign w:val="center"/>
            <w:hideMark/>
          </w:tcPr>
          <w:p w14:paraId="6F1F593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0AFC10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18D2AC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41C1383"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DD7214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B.III.3.c.</w:t>
            </w:r>
          </w:p>
        </w:tc>
        <w:tc>
          <w:tcPr>
            <w:tcW w:w="2160" w:type="dxa"/>
            <w:tcBorders>
              <w:top w:val="nil"/>
              <w:left w:val="nil"/>
              <w:bottom w:val="single" w:sz="8" w:space="0" w:color="auto"/>
              <w:right w:val="single" w:sz="8" w:space="0" w:color="auto"/>
            </w:tcBorders>
            <w:shd w:val="clear" w:color="auto" w:fill="auto"/>
            <w:vAlign w:val="center"/>
            <w:hideMark/>
          </w:tcPr>
          <w:p w14:paraId="0125A74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zobowiązania finansowe</w:t>
            </w:r>
          </w:p>
        </w:tc>
        <w:tc>
          <w:tcPr>
            <w:tcW w:w="1740" w:type="dxa"/>
            <w:tcBorders>
              <w:top w:val="nil"/>
              <w:left w:val="nil"/>
              <w:bottom w:val="single" w:sz="8" w:space="0" w:color="auto"/>
              <w:right w:val="single" w:sz="8" w:space="0" w:color="auto"/>
            </w:tcBorders>
            <w:shd w:val="clear" w:color="auto" w:fill="auto"/>
            <w:vAlign w:val="center"/>
            <w:hideMark/>
          </w:tcPr>
          <w:p w14:paraId="1C8DE3A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0A63F16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373129C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554DEEC6"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4257FD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lastRenderedPageBreak/>
              <w:t>B.III.3.d.</w:t>
            </w:r>
          </w:p>
        </w:tc>
        <w:tc>
          <w:tcPr>
            <w:tcW w:w="2160" w:type="dxa"/>
            <w:tcBorders>
              <w:top w:val="nil"/>
              <w:left w:val="nil"/>
              <w:bottom w:val="single" w:sz="8" w:space="0" w:color="auto"/>
              <w:right w:val="single" w:sz="8" w:space="0" w:color="auto"/>
            </w:tcBorders>
            <w:shd w:val="clear" w:color="auto" w:fill="auto"/>
            <w:vAlign w:val="center"/>
            <w:hideMark/>
          </w:tcPr>
          <w:p w14:paraId="5DA794C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dostaw i usług :</w:t>
            </w:r>
          </w:p>
        </w:tc>
        <w:tc>
          <w:tcPr>
            <w:tcW w:w="1740" w:type="dxa"/>
            <w:tcBorders>
              <w:top w:val="nil"/>
              <w:left w:val="nil"/>
              <w:bottom w:val="single" w:sz="8" w:space="0" w:color="auto"/>
              <w:right w:val="single" w:sz="8" w:space="0" w:color="auto"/>
            </w:tcBorders>
            <w:shd w:val="clear" w:color="auto" w:fill="auto"/>
            <w:vAlign w:val="center"/>
            <w:hideMark/>
          </w:tcPr>
          <w:p w14:paraId="01049A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1 600 000,00</w:t>
            </w:r>
          </w:p>
        </w:tc>
        <w:tc>
          <w:tcPr>
            <w:tcW w:w="2140" w:type="dxa"/>
            <w:tcBorders>
              <w:top w:val="nil"/>
              <w:left w:val="nil"/>
              <w:bottom w:val="single" w:sz="8" w:space="0" w:color="auto"/>
              <w:right w:val="single" w:sz="8" w:space="0" w:color="auto"/>
            </w:tcBorders>
            <w:shd w:val="clear" w:color="auto" w:fill="auto"/>
            <w:vAlign w:val="center"/>
            <w:hideMark/>
          </w:tcPr>
          <w:p w14:paraId="28A2174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1 800 000,00</w:t>
            </w:r>
          </w:p>
        </w:tc>
        <w:tc>
          <w:tcPr>
            <w:tcW w:w="2140" w:type="dxa"/>
            <w:tcBorders>
              <w:top w:val="nil"/>
              <w:left w:val="nil"/>
              <w:bottom w:val="single" w:sz="8" w:space="0" w:color="auto"/>
              <w:right w:val="single" w:sz="8" w:space="0" w:color="auto"/>
            </w:tcBorders>
            <w:shd w:val="clear" w:color="auto" w:fill="auto"/>
            <w:vAlign w:val="center"/>
            <w:hideMark/>
          </w:tcPr>
          <w:p w14:paraId="6D64F66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2 000 000,00</w:t>
            </w:r>
          </w:p>
        </w:tc>
      </w:tr>
      <w:tr w:rsidR="00906F48" w:rsidRPr="00906F48" w14:paraId="22A9929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9CE153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6211DA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61EF4E6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1 600 000,00</w:t>
            </w:r>
          </w:p>
        </w:tc>
        <w:tc>
          <w:tcPr>
            <w:tcW w:w="2140" w:type="dxa"/>
            <w:tcBorders>
              <w:top w:val="nil"/>
              <w:left w:val="nil"/>
              <w:bottom w:val="single" w:sz="8" w:space="0" w:color="auto"/>
              <w:right w:val="single" w:sz="8" w:space="0" w:color="auto"/>
            </w:tcBorders>
            <w:shd w:val="clear" w:color="auto" w:fill="auto"/>
            <w:vAlign w:val="center"/>
            <w:hideMark/>
          </w:tcPr>
          <w:p w14:paraId="349E936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1 800 000,00</w:t>
            </w:r>
          </w:p>
        </w:tc>
        <w:tc>
          <w:tcPr>
            <w:tcW w:w="2140" w:type="dxa"/>
            <w:tcBorders>
              <w:top w:val="nil"/>
              <w:left w:val="nil"/>
              <w:bottom w:val="single" w:sz="8" w:space="0" w:color="auto"/>
              <w:right w:val="single" w:sz="8" w:space="0" w:color="auto"/>
            </w:tcBorders>
            <w:shd w:val="clear" w:color="auto" w:fill="auto"/>
            <w:vAlign w:val="center"/>
            <w:hideMark/>
          </w:tcPr>
          <w:p w14:paraId="428926F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2 000 000,00</w:t>
            </w:r>
          </w:p>
        </w:tc>
      </w:tr>
      <w:tr w:rsidR="00906F48" w:rsidRPr="00906F48" w14:paraId="45B8EF96" w14:textId="77777777" w:rsidTr="00906F48">
        <w:trPr>
          <w:trHeight w:val="103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E68E2F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78D9496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tym : z tytułu dostaw i usług, o okresie wymagalności do 12 miesięcy</w:t>
            </w:r>
          </w:p>
        </w:tc>
        <w:tc>
          <w:tcPr>
            <w:tcW w:w="1740" w:type="dxa"/>
            <w:tcBorders>
              <w:top w:val="nil"/>
              <w:left w:val="nil"/>
              <w:bottom w:val="single" w:sz="8" w:space="0" w:color="auto"/>
              <w:right w:val="single" w:sz="8" w:space="0" w:color="auto"/>
            </w:tcBorders>
            <w:shd w:val="clear" w:color="auto" w:fill="auto"/>
            <w:vAlign w:val="center"/>
            <w:hideMark/>
          </w:tcPr>
          <w:p w14:paraId="42E2869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200 000,00</w:t>
            </w:r>
          </w:p>
        </w:tc>
        <w:tc>
          <w:tcPr>
            <w:tcW w:w="2140" w:type="dxa"/>
            <w:tcBorders>
              <w:top w:val="nil"/>
              <w:left w:val="nil"/>
              <w:bottom w:val="single" w:sz="8" w:space="0" w:color="auto"/>
              <w:right w:val="single" w:sz="8" w:space="0" w:color="auto"/>
            </w:tcBorders>
            <w:shd w:val="clear" w:color="auto" w:fill="auto"/>
            <w:vAlign w:val="center"/>
            <w:hideMark/>
          </w:tcPr>
          <w:p w14:paraId="0751CD9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150 000,00</w:t>
            </w:r>
          </w:p>
        </w:tc>
        <w:tc>
          <w:tcPr>
            <w:tcW w:w="2140" w:type="dxa"/>
            <w:tcBorders>
              <w:top w:val="nil"/>
              <w:left w:val="nil"/>
              <w:bottom w:val="single" w:sz="8" w:space="0" w:color="auto"/>
              <w:right w:val="single" w:sz="8" w:space="0" w:color="auto"/>
            </w:tcBorders>
            <w:shd w:val="clear" w:color="auto" w:fill="auto"/>
            <w:vAlign w:val="center"/>
            <w:hideMark/>
          </w:tcPr>
          <w:p w14:paraId="6848A39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140 000,00</w:t>
            </w:r>
          </w:p>
        </w:tc>
      </w:tr>
      <w:tr w:rsidR="00906F48" w:rsidRPr="00906F48" w14:paraId="55ADE22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2CC208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4C08255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6F8C8B8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7DD2E5C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EC70F9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027B1AA1"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AC9EB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B.III.3.e.</w:t>
            </w:r>
          </w:p>
        </w:tc>
        <w:tc>
          <w:tcPr>
            <w:tcW w:w="2160" w:type="dxa"/>
            <w:tcBorders>
              <w:top w:val="nil"/>
              <w:left w:val="nil"/>
              <w:bottom w:val="single" w:sz="8" w:space="0" w:color="auto"/>
              <w:right w:val="single" w:sz="8" w:space="0" w:color="auto"/>
            </w:tcBorders>
            <w:shd w:val="clear" w:color="auto" w:fill="auto"/>
            <w:vAlign w:val="center"/>
            <w:hideMark/>
          </w:tcPr>
          <w:p w14:paraId="7F52E47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zaliczki otrzymane na dostawy i usługi</w:t>
            </w:r>
          </w:p>
        </w:tc>
        <w:tc>
          <w:tcPr>
            <w:tcW w:w="1740" w:type="dxa"/>
            <w:tcBorders>
              <w:top w:val="nil"/>
              <w:left w:val="nil"/>
              <w:bottom w:val="single" w:sz="8" w:space="0" w:color="auto"/>
              <w:right w:val="single" w:sz="8" w:space="0" w:color="auto"/>
            </w:tcBorders>
            <w:shd w:val="clear" w:color="auto" w:fill="auto"/>
            <w:vAlign w:val="center"/>
            <w:hideMark/>
          </w:tcPr>
          <w:p w14:paraId="2A13B0D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0746C5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D6D3AF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7B9504C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7B935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B.III.3.f.</w:t>
            </w:r>
          </w:p>
        </w:tc>
        <w:tc>
          <w:tcPr>
            <w:tcW w:w="2160" w:type="dxa"/>
            <w:tcBorders>
              <w:top w:val="nil"/>
              <w:left w:val="nil"/>
              <w:bottom w:val="single" w:sz="8" w:space="0" w:color="auto"/>
              <w:right w:val="single" w:sz="8" w:space="0" w:color="auto"/>
            </w:tcBorders>
            <w:shd w:val="clear" w:color="auto" w:fill="auto"/>
            <w:vAlign w:val="center"/>
            <w:hideMark/>
          </w:tcPr>
          <w:p w14:paraId="273CE33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zobowiązania wekslowe</w:t>
            </w:r>
          </w:p>
        </w:tc>
        <w:tc>
          <w:tcPr>
            <w:tcW w:w="1740" w:type="dxa"/>
            <w:tcBorders>
              <w:top w:val="nil"/>
              <w:left w:val="nil"/>
              <w:bottom w:val="single" w:sz="8" w:space="0" w:color="auto"/>
              <w:right w:val="single" w:sz="8" w:space="0" w:color="auto"/>
            </w:tcBorders>
            <w:shd w:val="clear" w:color="auto" w:fill="auto"/>
            <w:vAlign w:val="center"/>
            <w:hideMark/>
          </w:tcPr>
          <w:p w14:paraId="65E6B0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E022C8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14722F8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B0A2C7E" w14:textId="77777777" w:rsidTr="00906F48">
        <w:trPr>
          <w:trHeight w:val="154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EE571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B.III.3.g.</w:t>
            </w:r>
          </w:p>
        </w:tc>
        <w:tc>
          <w:tcPr>
            <w:tcW w:w="2160" w:type="dxa"/>
            <w:tcBorders>
              <w:top w:val="nil"/>
              <w:left w:val="nil"/>
              <w:bottom w:val="single" w:sz="8" w:space="0" w:color="auto"/>
              <w:right w:val="single" w:sz="8" w:space="0" w:color="auto"/>
            </w:tcBorders>
            <w:shd w:val="clear" w:color="auto" w:fill="auto"/>
            <w:vAlign w:val="center"/>
            <w:hideMark/>
          </w:tcPr>
          <w:p w14:paraId="6334BE2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podatków, ceł, ubezpieczeń społecznych i zdrowotnych oraz innych tytułów publicznoprawnych</w:t>
            </w:r>
          </w:p>
        </w:tc>
        <w:tc>
          <w:tcPr>
            <w:tcW w:w="1740" w:type="dxa"/>
            <w:tcBorders>
              <w:top w:val="nil"/>
              <w:left w:val="nil"/>
              <w:bottom w:val="single" w:sz="8" w:space="0" w:color="auto"/>
              <w:right w:val="single" w:sz="8" w:space="0" w:color="auto"/>
            </w:tcBorders>
            <w:shd w:val="clear" w:color="auto" w:fill="auto"/>
            <w:vAlign w:val="center"/>
            <w:hideMark/>
          </w:tcPr>
          <w:p w14:paraId="79704F2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1 400 000,00</w:t>
            </w:r>
          </w:p>
        </w:tc>
        <w:tc>
          <w:tcPr>
            <w:tcW w:w="2140" w:type="dxa"/>
            <w:tcBorders>
              <w:top w:val="nil"/>
              <w:left w:val="nil"/>
              <w:bottom w:val="single" w:sz="8" w:space="0" w:color="auto"/>
              <w:right w:val="single" w:sz="8" w:space="0" w:color="auto"/>
            </w:tcBorders>
            <w:shd w:val="clear" w:color="auto" w:fill="auto"/>
            <w:vAlign w:val="center"/>
            <w:hideMark/>
          </w:tcPr>
          <w:p w14:paraId="6498D18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1 450 000,00</w:t>
            </w:r>
          </w:p>
        </w:tc>
        <w:tc>
          <w:tcPr>
            <w:tcW w:w="2140" w:type="dxa"/>
            <w:tcBorders>
              <w:top w:val="nil"/>
              <w:left w:val="nil"/>
              <w:bottom w:val="single" w:sz="8" w:space="0" w:color="auto"/>
              <w:right w:val="single" w:sz="8" w:space="0" w:color="auto"/>
            </w:tcBorders>
            <w:shd w:val="clear" w:color="auto" w:fill="auto"/>
            <w:vAlign w:val="center"/>
            <w:hideMark/>
          </w:tcPr>
          <w:p w14:paraId="55ABCDF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1 500 000,00</w:t>
            </w:r>
          </w:p>
        </w:tc>
      </w:tr>
      <w:tr w:rsidR="00906F48" w:rsidRPr="00906F48" w14:paraId="7C58157A"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0599F7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B.III.3.h.</w:t>
            </w:r>
          </w:p>
        </w:tc>
        <w:tc>
          <w:tcPr>
            <w:tcW w:w="2160" w:type="dxa"/>
            <w:tcBorders>
              <w:top w:val="nil"/>
              <w:left w:val="nil"/>
              <w:bottom w:val="single" w:sz="8" w:space="0" w:color="auto"/>
              <w:right w:val="single" w:sz="8" w:space="0" w:color="auto"/>
            </w:tcBorders>
            <w:shd w:val="clear" w:color="auto" w:fill="auto"/>
            <w:vAlign w:val="center"/>
            <w:hideMark/>
          </w:tcPr>
          <w:p w14:paraId="59483D5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z tytułu wynagrodzeń</w:t>
            </w:r>
          </w:p>
        </w:tc>
        <w:tc>
          <w:tcPr>
            <w:tcW w:w="1740" w:type="dxa"/>
            <w:tcBorders>
              <w:top w:val="nil"/>
              <w:left w:val="nil"/>
              <w:bottom w:val="single" w:sz="8" w:space="0" w:color="auto"/>
              <w:right w:val="single" w:sz="8" w:space="0" w:color="auto"/>
            </w:tcBorders>
            <w:shd w:val="clear" w:color="auto" w:fill="auto"/>
            <w:vAlign w:val="center"/>
            <w:hideMark/>
          </w:tcPr>
          <w:p w14:paraId="43666F5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1 300 000,00</w:t>
            </w:r>
          </w:p>
        </w:tc>
        <w:tc>
          <w:tcPr>
            <w:tcW w:w="2140" w:type="dxa"/>
            <w:tcBorders>
              <w:top w:val="nil"/>
              <w:left w:val="nil"/>
              <w:bottom w:val="single" w:sz="8" w:space="0" w:color="auto"/>
              <w:right w:val="single" w:sz="8" w:space="0" w:color="auto"/>
            </w:tcBorders>
            <w:shd w:val="clear" w:color="auto" w:fill="auto"/>
            <w:vAlign w:val="center"/>
            <w:hideMark/>
          </w:tcPr>
          <w:p w14:paraId="4BCA986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1 400 000,00</w:t>
            </w:r>
          </w:p>
        </w:tc>
        <w:tc>
          <w:tcPr>
            <w:tcW w:w="2140" w:type="dxa"/>
            <w:tcBorders>
              <w:top w:val="nil"/>
              <w:left w:val="nil"/>
              <w:bottom w:val="single" w:sz="8" w:space="0" w:color="auto"/>
              <w:right w:val="single" w:sz="8" w:space="0" w:color="auto"/>
            </w:tcBorders>
            <w:shd w:val="clear" w:color="auto" w:fill="auto"/>
            <w:vAlign w:val="center"/>
            <w:hideMark/>
          </w:tcPr>
          <w:p w14:paraId="36447C0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1 500 000,00</w:t>
            </w:r>
          </w:p>
        </w:tc>
      </w:tr>
      <w:tr w:rsidR="00906F48" w:rsidRPr="00906F48" w14:paraId="5AB34340"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A3CD4D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B.III.3.i.</w:t>
            </w:r>
          </w:p>
        </w:tc>
        <w:tc>
          <w:tcPr>
            <w:tcW w:w="2160" w:type="dxa"/>
            <w:tcBorders>
              <w:top w:val="nil"/>
              <w:left w:val="nil"/>
              <w:bottom w:val="single" w:sz="8" w:space="0" w:color="auto"/>
              <w:right w:val="single" w:sz="8" w:space="0" w:color="auto"/>
            </w:tcBorders>
            <w:shd w:val="clear" w:color="auto" w:fill="auto"/>
            <w:vAlign w:val="center"/>
            <w:hideMark/>
          </w:tcPr>
          <w:p w14:paraId="6ABE2F1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1D228B2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150 000,00</w:t>
            </w:r>
          </w:p>
        </w:tc>
        <w:tc>
          <w:tcPr>
            <w:tcW w:w="2140" w:type="dxa"/>
            <w:tcBorders>
              <w:top w:val="nil"/>
              <w:left w:val="nil"/>
              <w:bottom w:val="single" w:sz="8" w:space="0" w:color="auto"/>
              <w:right w:val="single" w:sz="8" w:space="0" w:color="auto"/>
            </w:tcBorders>
            <w:shd w:val="clear" w:color="auto" w:fill="auto"/>
            <w:vAlign w:val="center"/>
            <w:hideMark/>
          </w:tcPr>
          <w:p w14:paraId="51406D2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200 000,00</w:t>
            </w:r>
          </w:p>
        </w:tc>
        <w:tc>
          <w:tcPr>
            <w:tcW w:w="2140" w:type="dxa"/>
            <w:tcBorders>
              <w:top w:val="nil"/>
              <w:left w:val="nil"/>
              <w:bottom w:val="single" w:sz="8" w:space="0" w:color="auto"/>
              <w:right w:val="single" w:sz="8" w:space="0" w:color="auto"/>
            </w:tcBorders>
            <w:shd w:val="clear" w:color="auto" w:fill="auto"/>
            <w:vAlign w:val="center"/>
            <w:hideMark/>
          </w:tcPr>
          <w:p w14:paraId="2FA7FD7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250 000,00</w:t>
            </w:r>
          </w:p>
        </w:tc>
      </w:tr>
      <w:tr w:rsidR="00906F48" w:rsidRPr="00906F48" w14:paraId="0C83D329"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A27CE9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B.III.4.</w:t>
            </w:r>
          </w:p>
        </w:tc>
        <w:tc>
          <w:tcPr>
            <w:tcW w:w="2160" w:type="dxa"/>
            <w:tcBorders>
              <w:top w:val="nil"/>
              <w:left w:val="nil"/>
              <w:bottom w:val="single" w:sz="8" w:space="0" w:color="auto"/>
              <w:right w:val="single" w:sz="8" w:space="0" w:color="auto"/>
            </w:tcBorders>
            <w:shd w:val="clear" w:color="auto" w:fill="auto"/>
            <w:vAlign w:val="center"/>
            <w:hideMark/>
          </w:tcPr>
          <w:p w14:paraId="542E00C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Fundusze specjalne</w:t>
            </w:r>
          </w:p>
        </w:tc>
        <w:tc>
          <w:tcPr>
            <w:tcW w:w="1740" w:type="dxa"/>
            <w:tcBorders>
              <w:top w:val="nil"/>
              <w:left w:val="nil"/>
              <w:bottom w:val="single" w:sz="8" w:space="0" w:color="auto"/>
              <w:right w:val="single" w:sz="8" w:space="0" w:color="auto"/>
            </w:tcBorders>
            <w:shd w:val="clear" w:color="auto" w:fill="auto"/>
            <w:vAlign w:val="center"/>
            <w:hideMark/>
          </w:tcPr>
          <w:p w14:paraId="03E09E6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290 000,00</w:t>
            </w:r>
          </w:p>
        </w:tc>
        <w:tc>
          <w:tcPr>
            <w:tcW w:w="2140" w:type="dxa"/>
            <w:tcBorders>
              <w:top w:val="nil"/>
              <w:left w:val="nil"/>
              <w:bottom w:val="single" w:sz="8" w:space="0" w:color="auto"/>
              <w:right w:val="single" w:sz="8" w:space="0" w:color="auto"/>
            </w:tcBorders>
            <w:shd w:val="clear" w:color="auto" w:fill="auto"/>
            <w:vAlign w:val="center"/>
            <w:hideMark/>
          </w:tcPr>
          <w:p w14:paraId="5B2A5DB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300 000,00</w:t>
            </w:r>
          </w:p>
        </w:tc>
        <w:tc>
          <w:tcPr>
            <w:tcW w:w="2140" w:type="dxa"/>
            <w:tcBorders>
              <w:top w:val="nil"/>
              <w:left w:val="nil"/>
              <w:bottom w:val="single" w:sz="8" w:space="0" w:color="auto"/>
              <w:right w:val="single" w:sz="8" w:space="0" w:color="auto"/>
            </w:tcBorders>
            <w:shd w:val="clear" w:color="auto" w:fill="auto"/>
            <w:vAlign w:val="center"/>
            <w:hideMark/>
          </w:tcPr>
          <w:p w14:paraId="03591B9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320 000,00</w:t>
            </w:r>
          </w:p>
        </w:tc>
      </w:tr>
      <w:tr w:rsidR="00906F48" w:rsidRPr="00906F48" w14:paraId="67DD6646"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8488FE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B.III.4.-</w:t>
            </w:r>
          </w:p>
        </w:tc>
        <w:tc>
          <w:tcPr>
            <w:tcW w:w="2160" w:type="dxa"/>
            <w:tcBorders>
              <w:top w:val="nil"/>
              <w:left w:val="nil"/>
              <w:bottom w:val="single" w:sz="8" w:space="0" w:color="auto"/>
              <w:right w:val="single" w:sz="8" w:space="0" w:color="auto"/>
            </w:tcBorders>
            <w:shd w:val="clear" w:color="auto" w:fill="auto"/>
            <w:vAlign w:val="center"/>
            <w:hideMark/>
          </w:tcPr>
          <w:p w14:paraId="52C6749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tym zakładowy fundusz świadczeń socjalnych (ZFŚS)</w:t>
            </w:r>
          </w:p>
        </w:tc>
        <w:tc>
          <w:tcPr>
            <w:tcW w:w="1740" w:type="dxa"/>
            <w:tcBorders>
              <w:top w:val="nil"/>
              <w:left w:val="nil"/>
              <w:bottom w:val="single" w:sz="8" w:space="0" w:color="auto"/>
              <w:right w:val="single" w:sz="8" w:space="0" w:color="auto"/>
            </w:tcBorders>
            <w:shd w:val="clear" w:color="auto" w:fill="auto"/>
            <w:vAlign w:val="center"/>
            <w:hideMark/>
          </w:tcPr>
          <w:p w14:paraId="22741B4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290 000,00</w:t>
            </w:r>
          </w:p>
        </w:tc>
        <w:tc>
          <w:tcPr>
            <w:tcW w:w="2140" w:type="dxa"/>
            <w:tcBorders>
              <w:top w:val="nil"/>
              <w:left w:val="nil"/>
              <w:bottom w:val="single" w:sz="8" w:space="0" w:color="auto"/>
              <w:right w:val="single" w:sz="8" w:space="0" w:color="auto"/>
            </w:tcBorders>
            <w:shd w:val="clear" w:color="auto" w:fill="auto"/>
            <w:vAlign w:val="center"/>
            <w:hideMark/>
          </w:tcPr>
          <w:p w14:paraId="5B482D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300 000,00</w:t>
            </w:r>
          </w:p>
        </w:tc>
        <w:tc>
          <w:tcPr>
            <w:tcW w:w="2140" w:type="dxa"/>
            <w:tcBorders>
              <w:top w:val="nil"/>
              <w:left w:val="nil"/>
              <w:bottom w:val="single" w:sz="8" w:space="0" w:color="auto"/>
              <w:right w:val="single" w:sz="8" w:space="0" w:color="auto"/>
            </w:tcBorders>
            <w:shd w:val="clear" w:color="auto" w:fill="auto"/>
            <w:vAlign w:val="center"/>
            <w:hideMark/>
          </w:tcPr>
          <w:p w14:paraId="7AFD70C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320 000,00</w:t>
            </w:r>
          </w:p>
        </w:tc>
      </w:tr>
      <w:tr w:rsidR="00906F48" w:rsidRPr="00906F48" w14:paraId="592E0F1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3A98ABC"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B.IV.</w:t>
            </w:r>
          </w:p>
        </w:tc>
        <w:tc>
          <w:tcPr>
            <w:tcW w:w="2160" w:type="dxa"/>
            <w:tcBorders>
              <w:top w:val="nil"/>
              <w:left w:val="nil"/>
              <w:bottom w:val="single" w:sz="8" w:space="0" w:color="auto"/>
              <w:right w:val="single" w:sz="8" w:space="0" w:color="auto"/>
            </w:tcBorders>
            <w:shd w:val="clear" w:color="000000" w:fill="FFFFFF"/>
            <w:vAlign w:val="center"/>
            <w:hideMark/>
          </w:tcPr>
          <w:p w14:paraId="0A3C191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Rozliczenia międzyokresowe</w:t>
            </w:r>
          </w:p>
        </w:tc>
        <w:tc>
          <w:tcPr>
            <w:tcW w:w="1740" w:type="dxa"/>
            <w:tcBorders>
              <w:top w:val="nil"/>
              <w:left w:val="nil"/>
              <w:bottom w:val="single" w:sz="8" w:space="0" w:color="auto"/>
              <w:right w:val="single" w:sz="8" w:space="0" w:color="auto"/>
            </w:tcBorders>
            <w:shd w:val="clear" w:color="auto" w:fill="auto"/>
            <w:vAlign w:val="center"/>
            <w:hideMark/>
          </w:tcPr>
          <w:p w14:paraId="3E9AD262"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14 016 334,90</w:t>
            </w:r>
          </w:p>
        </w:tc>
        <w:tc>
          <w:tcPr>
            <w:tcW w:w="2140" w:type="dxa"/>
            <w:tcBorders>
              <w:top w:val="nil"/>
              <w:left w:val="nil"/>
              <w:bottom w:val="single" w:sz="8" w:space="0" w:color="auto"/>
              <w:right w:val="single" w:sz="8" w:space="0" w:color="auto"/>
            </w:tcBorders>
            <w:shd w:val="clear" w:color="auto" w:fill="auto"/>
            <w:vAlign w:val="center"/>
            <w:hideMark/>
          </w:tcPr>
          <w:p w14:paraId="5485C35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14 197 134,90</w:t>
            </w:r>
          </w:p>
        </w:tc>
        <w:tc>
          <w:tcPr>
            <w:tcW w:w="2140" w:type="dxa"/>
            <w:tcBorders>
              <w:top w:val="nil"/>
              <w:left w:val="nil"/>
              <w:bottom w:val="single" w:sz="8" w:space="0" w:color="auto"/>
              <w:right w:val="single" w:sz="8" w:space="0" w:color="auto"/>
            </w:tcBorders>
            <w:shd w:val="clear" w:color="auto" w:fill="auto"/>
            <w:vAlign w:val="center"/>
            <w:hideMark/>
          </w:tcPr>
          <w:p w14:paraId="2AA36388"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16 422 334,90</w:t>
            </w:r>
          </w:p>
        </w:tc>
      </w:tr>
      <w:tr w:rsidR="00906F48" w:rsidRPr="00906F48" w14:paraId="3BE5D7B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706493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B.IV.1.</w:t>
            </w:r>
          </w:p>
        </w:tc>
        <w:tc>
          <w:tcPr>
            <w:tcW w:w="2160" w:type="dxa"/>
            <w:tcBorders>
              <w:top w:val="nil"/>
              <w:left w:val="nil"/>
              <w:bottom w:val="single" w:sz="8" w:space="0" w:color="auto"/>
              <w:right w:val="single" w:sz="8" w:space="0" w:color="auto"/>
            </w:tcBorders>
            <w:shd w:val="clear" w:color="auto" w:fill="auto"/>
            <w:vAlign w:val="center"/>
            <w:hideMark/>
          </w:tcPr>
          <w:p w14:paraId="2733849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Ujemna wartość firmy</w:t>
            </w:r>
          </w:p>
        </w:tc>
        <w:tc>
          <w:tcPr>
            <w:tcW w:w="1740" w:type="dxa"/>
            <w:tcBorders>
              <w:top w:val="nil"/>
              <w:left w:val="nil"/>
              <w:bottom w:val="single" w:sz="8" w:space="0" w:color="auto"/>
              <w:right w:val="single" w:sz="8" w:space="0" w:color="auto"/>
            </w:tcBorders>
            <w:shd w:val="clear" w:color="auto" w:fill="auto"/>
            <w:vAlign w:val="center"/>
            <w:hideMark/>
          </w:tcPr>
          <w:p w14:paraId="7E737FB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2FF81D1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140" w:type="dxa"/>
            <w:tcBorders>
              <w:top w:val="nil"/>
              <w:left w:val="nil"/>
              <w:bottom w:val="single" w:sz="8" w:space="0" w:color="auto"/>
              <w:right w:val="single" w:sz="8" w:space="0" w:color="auto"/>
            </w:tcBorders>
            <w:shd w:val="clear" w:color="auto" w:fill="auto"/>
            <w:vAlign w:val="center"/>
            <w:hideMark/>
          </w:tcPr>
          <w:p w14:paraId="5C802A5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r>
      <w:tr w:rsidR="00906F48" w:rsidRPr="00906F48" w14:paraId="37F669B9"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B90C46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7BCC27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rozliczenia międzyokresowe</w:t>
            </w:r>
          </w:p>
        </w:tc>
        <w:tc>
          <w:tcPr>
            <w:tcW w:w="1740" w:type="dxa"/>
            <w:tcBorders>
              <w:top w:val="nil"/>
              <w:left w:val="nil"/>
              <w:bottom w:val="single" w:sz="8" w:space="0" w:color="auto"/>
              <w:right w:val="single" w:sz="8" w:space="0" w:color="auto"/>
            </w:tcBorders>
            <w:shd w:val="clear" w:color="auto" w:fill="auto"/>
            <w:vAlign w:val="center"/>
            <w:hideMark/>
          </w:tcPr>
          <w:p w14:paraId="620B593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14 016 334,90</w:t>
            </w:r>
          </w:p>
        </w:tc>
        <w:tc>
          <w:tcPr>
            <w:tcW w:w="2140" w:type="dxa"/>
            <w:tcBorders>
              <w:top w:val="nil"/>
              <w:left w:val="nil"/>
              <w:bottom w:val="single" w:sz="8" w:space="0" w:color="auto"/>
              <w:right w:val="single" w:sz="8" w:space="0" w:color="auto"/>
            </w:tcBorders>
            <w:shd w:val="clear" w:color="auto" w:fill="auto"/>
            <w:vAlign w:val="center"/>
            <w:hideMark/>
          </w:tcPr>
          <w:p w14:paraId="686A29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14 197 134,90</w:t>
            </w:r>
          </w:p>
        </w:tc>
        <w:tc>
          <w:tcPr>
            <w:tcW w:w="2140" w:type="dxa"/>
            <w:tcBorders>
              <w:top w:val="nil"/>
              <w:left w:val="nil"/>
              <w:bottom w:val="single" w:sz="8" w:space="0" w:color="auto"/>
              <w:right w:val="single" w:sz="8" w:space="0" w:color="auto"/>
            </w:tcBorders>
            <w:shd w:val="clear" w:color="auto" w:fill="auto"/>
            <w:vAlign w:val="center"/>
            <w:hideMark/>
          </w:tcPr>
          <w:p w14:paraId="4BCDF9D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16 422 334,90</w:t>
            </w:r>
          </w:p>
        </w:tc>
      </w:tr>
      <w:tr w:rsidR="00906F48" w:rsidRPr="00906F48" w14:paraId="21191627"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342B60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314DD98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długoterminowe, w tym:</w:t>
            </w:r>
          </w:p>
        </w:tc>
        <w:tc>
          <w:tcPr>
            <w:tcW w:w="1740" w:type="dxa"/>
            <w:tcBorders>
              <w:top w:val="nil"/>
              <w:left w:val="nil"/>
              <w:bottom w:val="single" w:sz="8" w:space="0" w:color="auto"/>
              <w:right w:val="single" w:sz="8" w:space="0" w:color="auto"/>
            </w:tcBorders>
            <w:shd w:val="clear" w:color="auto" w:fill="auto"/>
            <w:vAlign w:val="center"/>
            <w:hideMark/>
          </w:tcPr>
          <w:p w14:paraId="129EBF4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13 000 000,00</w:t>
            </w:r>
          </w:p>
        </w:tc>
        <w:tc>
          <w:tcPr>
            <w:tcW w:w="2140" w:type="dxa"/>
            <w:tcBorders>
              <w:top w:val="nil"/>
              <w:left w:val="nil"/>
              <w:bottom w:val="single" w:sz="8" w:space="0" w:color="auto"/>
              <w:right w:val="single" w:sz="8" w:space="0" w:color="auto"/>
            </w:tcBorders>
            <w:shd w:val="clear" w:color="auto" w:fill="auto"/>
            <w:vAlign w:val="center"/>
            <w:hideMark/>
          </w:tcPr>
          <w:p w14:paraId="6F1BD55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13 000 000,00</w:t>
            </w:r>
          </w:p>
        </w:tc>
        <w:tc>
          <w:tcPr>
            <w:tcW w:w="2140" w:type="dxa"/>
            <w:tcBorders>
              <w:top w:val="nil"/>
              <w:left w:val="nil"/>
              <w:bottom w:val="single" w:sz="8" w:space="0" w:color="auto"/>
              <w:right w:val="single" w:sz="8" w:space="0" w:color="auto"/>
            </w:tcBorders>
            <w:shd w:val="clear" w:color="auto" w:fill="auto"/>
            <w:vAlign w:val="center"/>
            <w:hideMark/>
          </w:tcPr>
          <w:p w14:paraId="19D525D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15 000 000,00</w:t>
            </w:r>
          </w:p>
        </w:tc>
      </w:tr>
      <w:tr w:rsidR="00906F48" w:rsidRPr="00906F48" w14:paraId="67C0717A"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A738B5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1DB66D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dotacje z budżetu państwa</w:t>
            </w:r>
          </w:p>
        </w:tc>
        <w:tc>
          <w:tcPr>
            <w:tcW w:w="1740" w:type="dxa"/>
            <w:tcBorders>
              <w:top w:val="nil"/>
              <w:left w:val="nil"/>
              <w:bottom w:val="single" w:sz="8" w:space="0" w:color="auto"/>
              <w:right w:val="single" w:sz="8" w:space="0" w:color="auto"/>
            </w:tcBorders>
            <w:shd w:val="clear" w:color="auto" w:fill="auto"/>
            <w:vAlign w:val="center"/>
            <w:hideMark/>
          </w:tcPr>
          <w:p w14:paraId="7A98F3E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3 100 000,00</w:t>
            </w:r>
          </w:p>
        </w:tc>
        <w:tc>
          <w:tcPr>
            <w:tcW w:w="2140" w:type="dxa"/>
            <w:tcBorders>
              <w:top w:val="nil"/>
              <w:left w:val="nil"/>
              <w:bottom w:val="single" w:sz="8" w:space="0" w:color="auto"/>
              <w:right w:val="single" w:sz="8" w:space="0" w:color="auto"/>
            </w:tcBorders>
            <w:shd w:val="clear" w:color="auto" w:fill="auto"/>
            <w:vAlign w:val="center"/>
            <w:hideMark/>
          </w:tcPr>
          <w:p w14:paraId="58D2087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3 500 000,00</w:t>
            </w:r>
          </w:p>
        </w:tc>
        <w:tc>
          <w:tcPr>
            <w:tcW w:w="2140" w:type="dxa"/>
            <w:tcBorders>
              <w:top w:val="nil"/>
              <w:left w:val="nil"/>
              <w:bottom w:val="single" w:sz="8" w:space="0" w:color="auto"/>
              <w:right w:val="single" w:sz="8" w:space="0" w:color="auto"/>
            </w:tcBorders>
            <w:shd w:val="clear" w:color="auto" w:fill="auto"/>
            <w:vAlign w:val="center"/>
            <w:hideMark/>
          </w:tcPr>
          <w:p w14:paraId="0C9C6AF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3 000 000,00</w:t>
            </w:r>
          </w:p>
        </w:tc>
      </w:tr>
      <w:tr w:rsidR="00906F48" w:rsidRPr="00906F48" w14:paraId="70C2CC4E"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CCE36C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6E193C5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dotacje z budżetu jednostki samorządu terytorialnego</w:t>
            </w:r>
          </w:p>
        </w:tc>
        <w:tc>
          <w:tcPr>
            <w:tcW w:w="1740" w:type="dxa"/>
            <w:tcBorders>
              <w:top w:val="nil"/>
              <w:left w:val="nil"/>
              <w:bottom w:val="single" w:sz="8" w:space="0" w:color="auto"/>
              <w:right w:val="single" w:sz="8" w:space="0" w:color="auto"/>
            </w:tcBorders>
            <w:shd w:val="clear" w:color="auto" w:fill="auto"/>
            <w:vAlign w:val="center"/>
            <w:hideMark/>
          </w:tcPr>
          <w:p w14:paraId="592E09E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8 300 000,00</w:t>
            </w:r>
          </w:p>
        </w:tc>
        <w:tc>
          <w:tcPr>
            <w:tcW w:w="2140" w:type="dxa"/>
            <w:tcBorders>
              <w:top w:val="nil"/>
              <w:left w:val="nil"/>
              <w:bottom w:val="single" w:sz="8" w:space="0" w:color="auto"/>
              <w:right w:val="single" w:sz="8" w:space="0" w:color="auto"/>
            </w:tcBorders>
            <w:shd w:val="clear" w:color="auto" w:fill="auto"/>
            <w:vAlign w:val="center"/>
            <w:hideMark/>
          </w:tcPr>
          <w:p w14:paraId="563F242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8 500 000,00</w:t>
            </w:r>
          </w:p>
        </w:tc>
        <w:tc>
          <w:tcPr>
            <w:tcW w:w="2140" w:type="dxa"/>
            <w:tcBorders>
              <w:top w:val="nil"/>
              <w:left w:val="nil"/>
              <w:bottom w:val="single" w:sz="8" w:space="0" w:color="auto"/>
              <w:right w:val="single" w:sz="8" w:space="0" w:color="auto"/>
            </w:tcBorders>
            <w:shd w:val="clear" w:color="auto" w:fill="auto"/>
            <w:vAlign w:val="center"/>
            <w:hideMark/>
          </w:tcPr>
          <w:p w14:paraId="4F5AFDA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9 000 000,00</w:t>
            </w:r>
          </w:p>
        </w:tc>
      </w:tr>
      <w:tr w:rsidR="00906F48" w:rsidRPr="00906F48" w14:paraId="10483BA4"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C24D33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2BC7704C"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krótkoterminowe, w tym:</w:t>
            </w:r>
          </w:p>
        </w:tc>
        <w:tc>
          <w:tcPr>
            <w:tcW w:w="1740" w:type="dxa"/>
            <w:tcBorders>
              <w:top w:val="nil"/>
              <w:left w:val="nil"/>
              <w:bottom w:val="single" w:sz="8" w:space="0" w:color="auto"/>
              <w:right w:val="single" w:sz="8" w:space="0" w:color="auto"/>
            </w:tcBorders>
            <w:shd w:val="clear" w:color="auto" w:fill="auto"/>
            <w:vAlign w:val="center"/>
            <w:hideMark/>
          </w:tcPr>
          <w:p w14:paraId="1D2BD79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1 016 334,90</w:t>
            </w:r>
          </w:p>
        </w:tc>
        <w:tc>
          <w:tcPr>
            <w:tcW w:w="2140" w:type="dxa"/>
            <w:tcBorders>
              <w:top w:val="nil"/>
              <w:left w:val="nil"/>
              <w:bottom w:val="single" w:sz="8" w:space="0" w:color="auto"/>
              <w:right w:val="single" w:sz="8" w:space="0" w:color="auto"/>
            </w:tcBorders>
            <w:shd w:val="clear" w:color="auto" w:fill="auto"/>
            <w:vAlign w:val="center"/>
            <w:hideMark/>
          </w:tcPr>
          <w:p w14:paraId="35F9CC3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1 197 134,90</w:t>
            </w:r>
          </w:p>
        </w:tc>
        <w:tc>
          <w:tcPr>
            <w:tcW w:w="2140" w:type="dxa"/>
            <w:tcBorders>
              <w:top w:val="nil"/>
              <w:left w:val="nil"/>
              <w:bottom w:val="single" w:sz="8" w:space="0" w:color="auto"/>
              <w:right w:val="single" w:sz="8" w:space="0" w:color="auto"/>
            </w:tcBorders>
            <w:shd w:val="clear" w:color="auto" w:fill="auto"/>
            <w:vAlign w:val="center"/>
            <w:hideMark/>
          </w:tcPr>
          <w:p w14:paraId="4B1C1B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1 422 334,90</w:t>
            </w:r>
          </w:p>
        </w:tc>
      </w:tr>
      <w:tr w:rsidR="00906F48" w:rsidRPr="00906F48" w14:paraId="00095303"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E24C6D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23ECEBC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dotacje z budżetu państwa</w:t>
            </w:r>
          </w:p>
        </w:tc>
        <w:tc>
          <w:tcPr>
            <w:tcW w:w="1740" w:type="dxa"/>
            <w:tcBorders>
              <w:top w:val="nil"/>
              <w:left w:val="nil"/>
              <w:bottom w:val="single" w:sz="8" w:space="0" w:color="auto"/>
              <w:right w:val="single" w:sz="8" w:space="0" w:color="auto"/>
            </w:tcBorders>
            <w:shd w:val="clear" w:color="auto" w:fill="auto"/>
            <w:vAlign w:val="center"/>
            <w:hideMark/>
          </w:tcPr>
          <w:p w14:paraId="531E7B6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300 000,00</w:t>
            </w:r>
          </w:p>
        </w:tc>
        <w:tc>
          <w:tcPr>
            <w:tcW w:w="2140" w:type="dxa"/>
            <w:tcBorders>
              <w:top w:val="nil"/>
              <w:left w:val="nil"/>
              <w:bottom w:val="single" w:sz="8" w:space="0" w:color="auto"/>
              <w:right w:val="single" w:sz="8" w:space="0" w:color="auto"/>
            </w:tcBorders>
            <w:shd w:val="clear" w:color="auto" w:fill="auto"/>
            <w:vAlign w:val="center"/>
            <w:hideMark/>
          </w:tcPr>
          <w:p w14:paraId="536FE74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250 000,00</w:t>
            </w:r>
          </w:p>
        </w:tc>
        <w:tc>
          <w:tcPr>
            <w:tcW w:w="2140" w:type="dxa"/>
            <w:tcBorders>
              <w:top w:val="nil"/>
              <w:left w:val="nil"/>
              <w:bottom w:val="single" w:sz="8" w:space="0" w:color="auto"/>
              <w:right w:val="single" w:sz="8" w:space="0" w:color="auto"/>
            </w:tcBorders>
            <w:shd w:val="clear" w:color="auto" w:fill="auto"/>
            <w:vAlign w:val="center"/>
            <w:hideMark/>
          </w:tcPr>
          <w:p w14:paraId="070904C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200 000,00</w:t>
            </w:r>
          </w:p>
        </w:tc>
      </w:tr>
      <w:tr w:rsidR="00906F48" w:rsidRPr="00906F48" w14:paraId="7521833B"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0C2523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39D8BD5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 dotacje z budżetu jednostki samorządu terytorialnego</w:t>
            </w:r>
          </w:p>
        </w:tc>
        <w:tc>
          <w:tcPr>
            <w:tcW w:w="1740" w:type="dxa"/>
            <w:tcBorders>
              <w:top w:val="nil"/>
              <w:left w:val="nil"/>
              <w:bottom w:val="single" w:sz="8" w:space="0" w:color="auto"/>
              <w:right w:val="single" w:sz="8" w:space="0" w:color="auto"/>
            </w:tcBorders>
            <w:shd w:val="clear" w:color="auto" w:fill="auto"/>
            <w:vAlign w:val="center"/>
            <w:hideMark/>
          </w:tcPr>
          <w:p w14:paraId="4AE4339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500 000,00</w:t>
            </w:r>
          </w:p>
        </w:tc>
        <w:tc>
          <w:tcPr>
            <w:tcW w:w="2140" w:type="dxa"/>
            <w:tcBorders>
              <w:top w:val="nil"/>
              <w:left w:val="nil"/>
              <w:bottom w:val="single" w:sz="8" w:space="0" w:color="auto"/>
              <w:right w:val="single" w:sz="8" w:space="0" w:color="auto"/>
            </w:tcBorders>
            <w:shd w:val="clear" w:color="auto" w:fill="auto"/>
            <w:vAlign w:val="center"/>
            <w:hideMark/>
          </w:tcPr>
          <w:p w14:paraId="2F9C4E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450 000,00</w:t>
            </w:r>
          </w:p>
        </w:tc>
        <w:tc>
          <w:tcPr>
            <w:tcW w:w="2140" w:type="dxa"/>
            <w:tcBorders>
              <w:top w:val="nil"/>
              <w:left w:val="nil"/>
              <w:bottom w:val="single" w:sz="8" w:space="0" w:color="auto"/>
              <w:right w:val="single" w:sz="8" w:space="0" w:color="auto"/>
            </w:tcBorders>
            <w:shd w:val="clear" w:color="auto" w:fill="auto"/>
            <w:vAlign w:val="center"/>
            <w:hideMark/>
          </w:tcPr>
          <w:p w14:paraId="1A84D66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400 000,00</w:t>
            </w:r>
          </w:p>
        </w:tc>
      </w:tr>
      <w:tr w:rsidR="00CF0E7B" w:rsidRPr="00906F48" w14:paraId="7A82CD89" w14:textId="77777777">
        <w:trPr>
          <w:trHeight w:val="315"/>
        </w:trPr>
        <w:tc>
          <w:tcPr>
            <w:tcW w:w="152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1B46486" w14:textId="77777777" w:rsidR="00906F48" w:rsidRPr="00906F48" w:rsidRDefault="00906F48" w:rsidP="00906F48">
            <w:pPr>
              <w:suppressAutoHyphens w:val="0"/>
              <w:spacing w:line="240" w:lineRule="auto"/>
              <w:jc w:val="center"/>
              <w:rPr>
                <w:b/>
                <w:bCs/>
                <w:i/>
                <w:iCs/>
                <w:sz w:val="20"/>
                <w:szCs w:val="20"/>
                <w:lang w:eastAsia="pl-PL"/>
              </w:rPr>
            </w:pPr>
            <w:r w:rsidRPr="00906F48">
              <w:rPr>
                <w:b/>
                <w:bCs/>
                <w:i/>
                <w:iCs/>
                <w:sz w:val="20"/>
                <w:szCs w:val="20"/>
                <w:lang w:eastAsia="pl-PL"/>
              </w:rPr>
              <w:t> </w:t>
            </w:r>
          </w:p>
        </w:tc>
        <w:tc>
          <w:tcPr>
            <w:tcW w:w="2160" w:type="dxa"/>
            <w:tcBorders>
              <w:top w:val="single" w:sz="8" w:space="0" w:color="auto"/>
              <w:left w:val="nil"/>
              <w:bottom w:val="single" w:sz="8" w:space="0" w:color="auto"/>
              <w:right w:val="single" w:sz="8" w:space="0" w:color="auto"/>
            </w:tcBorders>
            <w:shd w:val="clear" w:color="000000" w:fill="9CC2E5"/>
            <w:vAlign w:val="center"/>
            <w:hideMark/>
          </w:tcPr>
          <w:p w14:paraId="20812659" w14:textId="77777777" w:rsidR="00906F48" w:rsidRPr="00906F48" w:rsidRDefault="00906F48" w:rsidP="00906F48">
            <w:pPr>
              <w:suppressAutoHyphens w:val="0"/>
              <w:spacing w:line="240" w:lineRule="auto"/>
              <w:jc w:val="center"/>
              <w:rPr>
                <w:b/>
                <w:bCs/>
                <w:i/>
                <w:iCs/>
                <w:sz w:val="20"/>
                <w:szCs w:val="20"/>
                <w:lang w:eastAsia="pl-PL"/>
              </w:rPr>
            </w:pPr>
            <w:r w:rsidRPr="00906F48">
              <w:rPr>
                <w:b/>
                <w:bCs/>
                <w:i/>
                <w:iCs/>
                <w:sz w:val="20"/>
                <w:szCs w:val="20"/>
                <w:lang w:eastAsia="pl-PL"/>
              </w:rPr>
              <w:t>RAZEM  PASYWA</w:t>
            </w:r>
          </w:p>
        </w:tc>
        <w:tc>
          <w:tcPr>
            <w:tcW w:w="1740" w:type="dxa"/>
            <w:tcBorders>
              <w:top w:val="single" w:sz="8" w:space="0" w:color="auto"/>
              <w:left w:val="nil"/>
              <w:bottom w:val="single" w:sz="8" w:space="0" w:color="auto"/>
              <w:right w:val="single" w:sz="8" w:space="0" w:color="auto"/>
            </w:tcBorders>
            <w:shd w:val="clear" w:color="000000" w:fill="9CC2E5"/>
            <w:vAlign w:val="center"/>
            <w:hideMark/>
          </w:tcPr>
          <w:p w14:paraId="15A8EA9E"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19 801 500,00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0C3D716A"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18 980 000,00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2C34A3F6"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20 640 000,00</w:t>
            </w:r>
          </w:p>
        </w:tc>
      </w:tr>
    </w:tbl>
    <w:p w14:paraId="0BBB91A9" w14:textId="77777777" w:rsidR="00906F48" w:rsidRPr="00906F48" w:rsidRDefault="00906F48" w:rsidP="00906F48"/>
    <w:p w14:paraId="438C95F4" w14:textId="77777777" w:rsidR="00DD2510" w:rsidRPr="002B78A5" w:rsidRDefault="00DD2510" w:rsidP="002B78A5"/>
    <w:p w14:paraId="036181E5" w14:textId="695D1465" w:rsidR="00DD2510" w:rsidRDefault="00DD2510" w:rsidP="00156F00">
      <w:pPr>
        <w:pStyle w:val="Nagwek3"/>
        <w:framePr w:wrap="auto"/>
      </w:pPr>
      <w:bookmarkStart w:id="22" w:name="_Toc132708836"/>
      <w:r>
        <w:t>Prognoza kształtowania się wielkości zobowiązań wymagalnych za lata 202</w:t>
      </w:r>
      <w:r w:rsidR="00632B6E">
        <w:t>3</w:t>
      </w:r>
      <w:r>
        <w:t>, 202</w:t>
      </w:r>
      <w:r w:rsidR="00632B6E">
        <w:t>4</w:t>
      </w:r>
      <w:r>
        <w:t xml:space="preserve"> i 202</w:t>
      </w:r>
      <w:r w:rsidR="00632B6E">
        <w:t>5</w:t>
      </w:r>
      <w:r>
        <w:t>.</w:t>
      </w:r>
      <w:bookmarkEnd w:id="22"/>
    </w:p>
    <w:p w14:paraId="4EC0CFE9" w14:textId="7822309A" w:rsidR="00DD2510" w:rsidRDefault="00DD2510" w:rsidP="005D00D7">
      <w:pPr>
        <w:pStyle w:val="Tekstpodstawowy"/>
        <w:spacing w:after="0" w:line="360" w:lineRule="atLeast"/>
        <w:jc w:val="both"/>
      </w:pPr>
      <w:r>
        <w:tab/>
      </w:r>
      <w:r w:rsidRPr="00402325">
        <w:t>Poniższa tabela prezentuje prognozowane wartości dotyczące kształtowania się wielkości zobowiązań wymagalnych zaplanowanych na lata 202</w:t>
      </w:r>
      <w:r w:rsidR="00E427DE">
        <w:t>3</w:t>
      </w:r>
      <w:r w:rsidRPr="00402325">
        <w:t>, 202</w:t>
      </w:r>
      <w:r w:rsidR="00E427DE">
        <w:t>4</w:t>
      </w:r>
      <w:r w:rsidRPr="00402325">
        <w:t xml:space="preserve"> oraz 202</w:t>
      </w:r>
      <w:r w:rsidR="00E427DE">
        <w:t>5</w:t>
      </w:r>
      <w:r w:rsidRPr="00402325">
        <w:t>.</w:t>
      </w:r>
    </w:p>
    <w:p w14:paraId="55F4ED71" w14:textId="77777777" w:rsidR="00DD2510" w:rsidRDefault="00DD2510" w:rsidP="005D00D7">
      <w:pPr>
        <w:pStyle w:val="Tekstpodstawowy"/>
        <w:spacing w:after="0" w:line="360" w:lineRule="atLeast"/>
        <w:jc w:val="both"/>
      </w:pPr>
    </w:p>
    <w:p w14:paraId="3045F30D" w14:textId="46AC0CC3" w:rsidR="00DD2510" w:rsidRPr="00402325" w:rsidRDefault="00DD2510" w:rsidP="005D00D7">
      <w:pPr>
        <w:spacing w:line="360" w:lineRule="atLeast"/>
        <w:jc w:val="both"/>
      </w:pPr>
      <w:r w:rsidRPr="00402325">
        <w:lastRenderedPageBreak/>
        <w:t>Tab. 7  Prognoza kształtowania się wielkości zobowiązań wymagalnych w latach 202</w:t>
      </w:r>
      <w:r w:rsidR="00E427DE">
        <w:t>3</w:t>
      </w:r>
      <w:r w:rsidRPr="00402325">
        <w:t xml:space="preserve"> – 202</w:t>
      </w:r>
      <w:r w:rsidR="00E427DE">
        <w:t>5</w:t>
      </w:r>
      <w:r w:rsidRPr="00402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89"/>
        <w:gridCol w:w="2289"/>
        <w:gridCol w:w="2243"/>
      </w:tblGrid>
      <w:tr w:rsidR="00DD2510" w:rsidRPr="00247368" w14:paraId="10663E88" w14:textId="77777777">
        <w:tc>
          <w:tcPr>
            <w:tcW w:w="2409" w:type="dxa"/>
          </w:tcPr>
          <w:p w14:paraId="0689FBE3" w14:textId="77777777" w:rsidR="00DD2510" w:rsidRPr="00247368" w:rsidRDefault="00DD2510" w:rsidP="002B78A5">
            <w:pPr>
              <w:jc w:val="center"/>
              <w:rPr>
                <w:b/>
                <w:bCs/>
              </w:rPr>
            </w:pPr>
            <w:r w:rsidRPr="00247368">
              <w:rPr>
                <w:b/>
                <w:bCs/>
              </w:rPr>
              <w:t>Rok</w:t>
            </w:r>
          </w:p>
        </w:tc>
        <w:tc>
          <w:tcPr>
            <w:tcW w:w="2409" w:type="dxa"/>
          </w:tcPr>
          <w:p w14:paraId="7690F5D9" w14:textId="3EEAADB2" w:rsidR="00DD2510" w:rsidRPr="00247368" w:rsidRDefault="00DD2510" w:rsidP="002B78A5">
            <w:pPr>
              <w:jc w:val="center"/>
              <w:rPr>
                <w:b/>
                <w:bCs/>
              </w:rPr>
            </w:pPr>
            <w:r w:rsidRPr="00247368">
              <w:rPr>
                <w:b/>
                <w:bCs/>
              </w:rPr>
              <w:t>202</w:t>
            </w:r>
            <w:r w:rsidR="00E427DE">
              <w:rPr>
                <w:b/>
                <w:bCs/>
              </w:rPr>
              <w:t>3</w:t>
            </w:r>
          </w:p>
        </w:tc>
        <w:tc>
          <w:tcPr>
            <w:tcW w:w="2409" w:type="dxa"/>
          </w:tcPr>
          <w:p w14:paraId="3234837D" w14:textId="3A77EFF5" w:rsidR="00DD2510" w:rsidRPr="00247368" w:rsidRDefault="00E427DE" w:rsidP="002B78A5">
            <w:pPr>
              <w:jc w:val="center"/>
              <w:rPr>
                <w:b/>
                <w:bCs/>
              </w:rPr>
            </w:pPr>
            <w:r>
              <w:rPr>
                <w:b/>
                <w:bCs/>
              </w:rPr>
              <w:t>2024</w:t>
            </w:r>
          </w:p>
        </w:tc>
        <w:tc>
          <w:tcPr>
            <w:tcW w:w="2409" w:type="dxa"/>
          </w:tcPr>
          <w:p w14:paraId="23A51D6A" w14:textId="3E89D0AE" w:rsidR="00DD2510" w:rsidRPr="00247368" w:rsidRDefault="00E427DE" w:rsidP="002B78A5">
            <w:pPr>
              <w:jc w:val="center"/>
              <w:rPr>
                <w:b/>
                <w:bCs/>
              </w:rPr>
            </w:pPr>
            <w:r>
              <w:rPr>
                <w:b/>
                <w:bCs/>
              </w:rPr>
              <w:t>2025</w:t>
            </w:r>
          </w:p>
        </w:tc>
      </w:tr>
      <w:tr w:rsidR="00DD2510" w:rsidRPr="00247368" w14:paraId="261E9BC9" w14:textId="77777777">
        <w:tc>
          <w:tcPr>
            <w:tcW w:w="2409" w:type="dxa"/>
          </w:tcPr>
          <w:p w14:paraId="3D79A4C6" w14:textId="77777777" w:rsidR="00DD2510" w:rsidRPr="00247368" w:rsidRDefault="00DD2510" w:rsidP="002B78A5">
            <w:pPr>
              <w:jc w:val="center"/>
            </w:pPr>
            <w:r w:rsidRPr="00247368">
              <w:t>Kwota</w:t>
            </w:r>
          </w:p>
        </w:tc>
        <w:tc>
          <w:tcPr>
            <w:tcW w:w="2409" w:type="dxa"/>
          </w:tcPr>
          <w:p w14:paraId="7EB310B3" w14:textId="7AFC71E6" w:rsidR="00DD2510" w:rsidRPr="00247368" w:rsidRDefault="00E427DE" w:rsidP="002B78A5">
            <w:pPr>
              <w:jc w:val="center"/>
            </w:pPr>
            <w:r>
              <w:t>200 000,00 zł</w:t>
            </w:r>
          </w:p>
        </w:tc>
        <w:tc>
          <w:tcPr>
            <w:tcW w:w="2409" w:type="dxa"/>
          </w:tcPr>
          <w:p w14:paraId="36949BE3" w14:textId="1CD89979" w:rsidR="00DD2510" w:rsidRPr="00247368" w:rsidRDefault="00E427DE" w:rsidP="002B78A5">
            <w:pPr>
              <w:jc w:val="center"/>
            </w:pPr>
            <w:r>
              <w:t>150 000,00 zł</w:t>
            </w:r>
          </w:p>
        </w:tc>
        <w:tc>
          <w:tcPr>
            <w:tcW w:w="2409" w:type="dxa"/>
          </w:tcPr>
          <w:p w14:paraId="7E2D2CDA" w14:textId="008D25A6" w:rsidR="00DD2510" w:rsidRPr="00247368" w:rsidRDefault="007C0264" w:rsidP="002B78A5">
            <w:pPr>
              <w:jc w:val="center"/>
            </w:pPr>
            <w:r>
              <w:t>140</w:t>
            </w:r>
            <w:r w:rsidR="00DD2510" w:rsidRPr="00247368">
              <w:t xml:space="preserve"> 000,00 zł</w:t>
            </w:r>
          </w:p>
        </w:tc>
      </w:tr>
    </w:tbl>
    <w:p w14:paraId="5EA227B7" w14:textId="77777777" w:rsidR="00DD2510" w:rsidRDefault="00DD2510" w:rsidP="002B78A5"/>
    <w:p w14:paraId="0DDA89AD" w14:textId="77777777" w:rsidR="00DD2510" w:rsidRPr="002B78A5" w:rsidRDefault="00DD2510" w:rsidP="002B78A5"/>
    <w:p w14:paraId="13E05E6F" w14:textId="6373E2FD" w:rsidR="00DD2510" w:rsidRDefault="00DD2510" w:rsidP="005D00D7">
      <w:pPr>
        <w:pStyle w:val="Nagwek2"/>
        <w:framePr w:wrap="auto"/>
      </w:pPr>
      <w:bookmarkStart w:id="23" w:name="_Toc132708837"/>
      <w:r w:rsidRPr="00B70A1C">
        <w:t xml:space="preserve">Prognoza wartości wskaźników </w:t>
      </w:r>
      <w:proofErr w:type="spellStart"/>
      <w:r w:rsidRPr="00B70A1C">
        <w:t>ekonomiczno</w:t>
      </w:r>
      <w:proofErr w:type="spellEnd"/>
      <w:r w:rsidRPr="00B70A1C">
        <w:t xml:space="preserve"> – finansowych wraz z podsumowaniem wyników prognozy wskaźnikowej projekcji sytuacji ekonomiczno-finansowej na lata 202</w:t>
      </w:r>
      <w:r w:rsidR="00585748">
        <w:t>3</w:t>
      </w:r>
      <w:r w:rsidRPr="00B70A1C">
        <w:t>, 202</w:t>
      </w:r>
      <w:r w:rsidR="00585748">
        <w:t>4</w:t>
      </w:r>
      <w:r w:rsidRPr="00B70A1C">
        <w:t xml:space="preserve"> i 202</w:t>
      </w:r>
      <w:r w:rsidR="00585748">
        <w:t>5</w:t>
      </w:r>
      <w:bookmarkEnd w:id="23"/>
    </w:p>
    <w:p w14:paraId="21937EB9" w14:textId="77777777" w:rsidR="00DD2510" w:rsidRPr="005D00D7" w:rsidRDefault="00DD2510" w:rsidP="005D00D7"/>
    <w:p w14:paraId="3271541A" w14:textId="67DE4777" w:rsidR="00DD2510" w:rsidRDefault="00DD2510" w:rsidP="005D00D7">
      <w:pPr>
        <w:pStyle w:val="Tekstpodstawowy"/>
        <w:jc w:val="both"/>
      </w:pPr>
      <w:r w:rsidRPr="00402325">
        <w:t xml:space="preserve">Tab. </w:t>
      </w:r>
      <w:r>
        <w:t>8</w:t>
      </w:r>
      <w:r w:rsidRPr="00402325">
        <w:t xml:space="preserve"> Tabela podsumowująca wyniki oceny sytuacji </w:t>
      </w:r>
      <w:proofErr w:type="spellStart"/>
      <w:r w:rsidRPr="00402325">
        <w:t>ekonom</w:t>
      </w:r>
      <w:r>
        <w:t>iczno</w:t>
      </w:r>
      <w:proofErr w:type="spellEnd"/>
      <w:r>
        <w:t xml:space="preserve"> – finansowej w latach 202</w:t>
      </w:r>
      <w:r w:rsidR="00585748">
        <w:t>3</w:t>
      </w:r>
      <w:r w:rsidRPr="00402325">
        <w:t xml:space="preserve"> – 202</w:t>
      </w:r>
      <w:r w:rsidR="00585748">
        <w:t>5</w:t>
      </w:r>
      <w:r w:rsidRPr="00402325">
        <w:t>.</w:t>
      </w:r>
    </w:p>
    <w:tbl>
      <w:tblPr>
        <w:tblW w:w="9580" w:type="dxa"/>
        <w:tblInd w:w="80" w:type="dxa"/>
        <w:tblCellMar>
          <w:left w:w="70" w:type="dxa"/>
          <w:right w:w="70" w:type="dxa"/>
        </w:tblCellMar>
        <w:tblLook w:val="04A0" w:firstRow="1" w:lastRow="0" w:firstColumn="1" w:lastColumn="0" w:noHBand="0" w:noVBand="1"/>
      </w:tblPr>
      <w:tblGrid>
        <w:gridCol w:w="1774"/>
        <w:gridCol w:w="2380"/>
        <w:gridCol w:w="920"/>
        <w:gridCol w:w="920"/>
        <w:gridCol w:w="920"/>
        <w:gridCol w:w="920"/>
        <w:gridCol w:w="920"/>
        <w:gridCol w:w="920"/>
      </w:tblGrid>
      <w:tr w:rsidR="008A53CD" w:rsidRPr="008A53CD" w14:paraId="42028B00" w14:textId="77777777" w:rsidTr="008A53CD">
        <w:trPr>
          <w:trHeight w:val="330"/>
        </w:trPr>
        <w:tc>
          <w:tcPr>
            <w:tcW w:w="1680" w:type="dxa"/>
            <w:vMerge w:val="restart"/>
            <w:tcBorders>
              <w:top w:val="single" w:sz="8" w:space="0" w:color="auto"/>
              <w:left w:val="single" w:sz="8" w:space="0" w:color="auto"/>
              <w:bottom w:val="single" w:sz="8" w:space="0" w:color="000000"/>
              <w:right w:val="single" w:sz="8" w:space="0" w:color="auto"/>
            </w:tcBorders>
            <w:shd w:val="clear" w:color="000000" w:fill="99CC00"/>
            <w:noWrap/>
            <w:vAlign w:val="center"/>
            <w:hideMark/>
          </w:tcPr>
          <w:p w14:paraId="64FFE7B4" w14:textId="77777777" w:rsidR="008A53CD" w:rsidRPr="008A53CD" w:rsidRDefault="008A53CD" w:rsidP="008A53CD">
            <w:pPr>
              <w:suppressAutoHyphens w:val="0"/>
              <w:spacing w:line="240" w:lineRule="auto"/>
              <w:jc w:val="center"/>
              <w:rPr>
                <w:rFonts w:ascii="Garamond" w:hAnsi="Garamond" w:cs="Arial"/>
                <w:color w:val="auto"/>
                <w:sz w:val="20"/>
                <w:szCs w:val="20"/>
                <w:lang w:eastAsia="pl-PL"/>
              </w:rPr>
            </w:pPr>
            <w:r w:rsidRPr="008A53CD">
              <w:rPr>
                <w:rFonts w:ascii="Garamond" w:hAnsi="Garamond" w:cs="Arial"/>
                <w:color w:val="auto"/>
                <w:sz w:val="20"/>
                <w:szCs w:val="20"/>
                <w:lang w:eastAsia="pl-PL"/>
              </w:rPr>
              <w:t>Grupa</w:t>
            </w:r>
          </w:p>
        </w:tc>
        <w:tc>
          <w:tcPr>
            <w:tcW w:w="2380" w:type="dxa"/>
            <w:vMerge w:val="restart"/>
            <w:tcBorders>
              <w:top w:val="single" w:sz="8" w:space="0" w:color="auto"/>
              <w:left w:val="single" w:sz="8" w:space="0" w:color="auto"/>
              <w:bottom w:val="single" w:sz="8" w:space="0" w:color="000000"/>
              <w:right w:val="nil"/>
            </w:tcBorders>
            <w:shd w:val="clear" w:color="000000" w:fill="99CC00"/>
            <w:vAlign w:val="center"/>
            <w:hideMark/>
          </w:tcPr>
          <w:p w14:paraId="4868BE1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Wskaźniki</w:t>
            </w:r>
          </w:p>
        </w:tc>
        <w:tc>
          <w:tcPr>
            <w:tcW w:w="1840" w:type="dxa"/>
            <w:gridSpan w:val="2"/>
            <w:tcBorders>
              <w:top w:val="single" w:sz="8" w:space="0" w:color="auto"/>
              <w:left w:val="single" w:sz="8" w:space="0" w:color="auto"/>
              <w:bottom w:val="single" w:sz="4" w:space="0" w:color="auto"/>
              <w:right w:val="single" w:sz="8" w:space="0" w:color="000000"/>
            </w:tcBorders>
            <w:shd w:val="clear" w:color="000000" w:fill="99CC00"/>
            <w:vAlign w:val="center"/>
            <w:hideMark/>
          </w:tcPr>
          <w:p w14:paraId="7550EF5C"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2023</w:t>
            </w:r>
          </w:p>
        </w:tc>
        <w:tc>
          <w:tcPr>
            <w:tcW w:w="1840" w:type="dxa"/>
            <w:gridSpan w:val="2"/>
            <w:tcBorders>
              <w:top w:val="single" w:sz="8" w:space="0" w:color="auto"/>
              <w:left w:val="nil"/>
              <w:bottom w:val="single" w:sz="4" w:space="0" w:color="auto"/>
              <w:right w:val="nil"/>
            </w:tcBorders>
            <w:shd w:val="clear" w:color="000000" w:fill="99CC00"/>
            <w:vAlign w:val="center"/>
            <w:hideMark/>
          </w:tcPr>
          <w:p w14:paraId="3CFBA46B"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2024</w:t>
            </w:r>
          </w:p>
        </w:tc>
        <w:tc>
          <w:tcPr>
            <w:tcW w:w="1840" w:type="dxa"/>
            <w:gridSpan w:val="2"/>
            <w:tcBorders>
              <w:top w:val="single" w:sz="8" w:space="0" w:color="auto"/>
              <w:left w:val="single" w:sz="8" w:space="0" w:color="auto"/>
              <w:bottom w:val="single" w:sz="4" w:space="0" w:color="auto"/>
              <w:right w:val="single" w:sz="8" w:space="0" w:color="000000"/>
            </w:tcBorders>
            <w:shd w:val="clear" w:color="000000" w:fill="99CC00"/>
            <w:vAlign w:val="center"/>
            <w:hideMark/>
          </w:tcPr>
          <w:p w14:paraId="1CDF6A6D"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2025</w:t>
            </w:r>
          </w:p>
        </w:tc>
      </w:tr>
      <w:tr w:rsidR="008A53CD" w:rsidRPr="008A53CD" w14:paraId="4B24B87A" w14:textId="77777777" w:rsidTr="008A53CD">
        <w:trPr>
          <w:trHeight w:val="540"/>
        </w:trPr>
        <w:tc>
          <w:tcPr>
            <w:tcW w:w="1680" w:type="dxa"/>
            <w:vMerge/>
            <w:tcBorders>
              <w:top w:val="single" w:sz="8" w:space="0" w:color="auto"/>
              <w:left w:val="single" w:sz="8" w:space="0" w:color="auto"/>
              <w:bottom w:val="single" w:sz="8" w:space="0" w:color="000000"/>
              <w:right w:val="single" w:sz="8" w:space="0" w:color="auto"/>
            </w:tcBorders>
            <w:vAlign w:val="center"/>
            <w:hideMark/>
          </w:tcPr>
          <w:p w14:paraId="769B49B3" w14:textId="77777777" w:rsidR="008A53CD" w:rsidRPr="008A53CD" w:rsidRDefault="008A53CD" w:rsidP="008A53CD">
            <w:pPr>
              <w:suppressAutoHyphens w:val="0"/>
              <w:spacing w:line="240" w:lineRule="auto"/>
              <w:rPr>
                <w:rFonts w:ascii="Garamond" w:hAnsi="Garamond" w:cs="Arial"/>
                <w:color w:val="auto"/>
                <w:sz w:val="20"/>
                <w:szCs w:val="20"/>
                <w:lang w:eastAsia="pl-PL"/>
              </w:rPr>
            </w:pPr>
          </w:p>
        </w:tc>
        <w:tc>
          <w:tcPr>
            <w:tcW w:w="2380" w:type="dxa"/>
            <w:vMerge/>
            <w:tcBorders>
              <w:top w:val="single" w:sz="8" w:space="0" w:color="auto"/>
              <w:left w:val="single" w:sz="8" w:space="0" w:color="auto"/>
              <w:bottom w:val="single" w:sz="8" w:space="0" w:color="000000"/>
              <w:right w:val="nil"/>
            </w:tcBorders>
            <w:vAlign w:val="center"/>
            <w:hideMark/>
          </w:tcPr>
          <w:p w14:paraId="3E675BE7" w14:textId="77777777" w:rsidR="008A53CD" w:rsidRPr="008A53CD" w:rsidRDefault="008A53CD" w:rsidP="008A53CD">
            <w:pPr>
              <w:suppressAutoHyphens w:val="0"/>
              <w:spacing w:line="240" w:lineRule="auto"/>
              <w:rPr>
                <w:rFonts w:ascii="Garamond" w:hAnsi="Garamond" w:cs="Arial"/>
                <w:color w:val="auto"/>
                <w:sz w:val="22"/>
                <w:szCs w:val="22"/>
                <w:lang w:eastAsia="pl-PL"/>
              </w:rPr>
            </w:pPr>
          </w:p>
        </w:tc>
        <w:tc>
          <w:tcPr>
            <w:tcW w:w="920" w:type="dxa"/>
            <w:tcBorders>
              <w:top w:val="nil"/>
              <w:left w:val="single" w:sz="8" w:space="0" w:color="auto"/>
              <w:bottom w:val="single" w:sz="8" w:space="0" w:color="auto"/>
              <w:right w:val="single" w:sz="4" w:space="0" w:color="auto"/>
            </w:tcBorders>
            <w:shd w:val="clear" w:color="000000" w:fill="99CC00"/>
            <w:vAlign w:val="center"/>
            <w:hideMark/>
          </w:tcPr>
          <w:p w14:paraId="1E3D7AC5"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920" w:type="dxa"/>
            <w:tcBorders>
              <w:top w:val="nil"/>
              <w:left w:val="nil"/>
              <w:bottom w:val="single" w:sz="8" w:space="0" w:color="auto"/>
              <w:right w:val="single" w:sz="8" w:space="0" w:color="auto"/>
            </w:tcBorders>
            <w:shd w:val="clear" w:color="000000" w:fill="99CC00"/>
            <w:vAlign w:val="center"/>
            <w:hideMark/>
          </w:tcPr>
          <w:p w14:paraId="379BA6D7"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c>
          <w:tcPr>
            <w:tcW w:w="920" w:type="dxa"/>
            <w:tcBorders>
              <w:top w:val="nil"/>
              <w:left w:val="nil"/>
              <w:bottom w:val="single" w:sz="8" w:space="0" w:color="auto"/>
              <w:right w:val="single" w:sz="4" w:space="0" w:color="auto"/>
            </w:tcBorders>
            <w:shd w:val="clear" w:color="000000" w:fill="99CC00"/>
            <w:vAlign w:val="center"/>
            <w:hideMark/>
          </w:tcPr>
          <w:p w14:paraId="695C66B0"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920" w:type="dxa"/>
            <w:tcBorders>
              <w:top w:val="nil"/>
              <w:left w:val="nil"/>
              <w:bottom w:val="single" w:sz="8" w:space="0" w:color="auto"/>
              <w:right w:val="nil"/>
            </w:tcBorders>
            <w:shd w:val="clear" w:color="000000" w:fill="99CC00"/>
            <w:vAlign w:val="center"/>
            <w:hideMark/>
          </w:tcPr>
          <w:p w14:paraId="18DC4CF3"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c>
          <w:tcPr>
            <w:tcW w:w="920" w:type="dxa"/>
            <w:tcBorders>
              <w:top w:val="nil"/>
              <w:left w:val="single" w:sz="8" w:space="0" w:color="auto"/>
              <w:bottom w:val="single" w:sz="8" w:space="0" w:color="auto"/>
              <w:right w:val="single" w:sz="4" w:space="0" w:color="auto"/>
            </w:tcBorders>
            <w:shd w:val="clear" w:color="000000" w:fill="99CC00"/>
            <w:vAlign w:val="center"/>
            <w:hideMark/>
          </w:tcPr>
          <w:p w14:paraId="5680C60A"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920" w:type="dxa"/>
            <w:tcBorders>
              <w:top w:val="nil"/>
              <w:left w:val="nil"/>
              <w:bottom w:val="single" w:sz="8" w:space="0" w:color="auto"/>
              <w:right w:val="single" w:sz="8" w:space="0" w:color="auto"/>
            </w:tcBorders>
            <w:shd w:val="clear" w:color="000000" w:fill="99CC00"/>
            <w:vAlign w:val="center"/>
            <w:hideMark/>
          </w:tcPr>
          <w:p w14:paraId="253A5D94"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r>
      <w:tr w:rsidR="008A53CD" w:rsidRPr="008A53CD" w14:paraId="1F328D18" w14:textId="77777777" w:rsidTr="008A53CD">
        <w:trPr>
          <w:trHeight w:val="720"/>
        </w:trPr>
        <w:tc>
          <w:tcPr>
            <w:tcW w:w="1680" w:type="dxa"/>
            <w:vMerge w:val="restart"/>
            <w:tcBorders>
              <w:top w:val="nil"/>
              <w:left w:val="single" w:sz="8" w:space="0" w:color="auto"/>
              <w:bottom w:val="single" w:sz="8" w:space="0" w:color="000000"/>
              <w:right w:val="single" w:sz="8" w:space="0" w:color="auto"/>
            </w:tcBorders>
            <w:shd w:val="clear" w:color="000000" w:fill="969696"/>
            <w:vAlign w:val="center"/>
            <w:hideMark/>
          </w:tcPr>
          <w:p w14:paraId="5AC6059F" w14:textId="77777777" w:rsidR="008A53CD" w:rsidRPr="008A53CD" w:rsidRDefault="008A53CD" w:rsidP="008A53CD">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 WSKAŹNIKI ZYSKOWNOŚCI</w:t>
            </w:r>
          </w:p>
        </w:tc>
        <w:tc>
          <w:tcPr>
            <w:tcW w:w="2380" w:type="dxa"/>
            <w:tcBorders>
              <w:top w:val="nil"/>
              <w:left w:val="nil"/>
              <w:bottom w:val="single" w:sz="4" w:space="0" w:color="auto"/>
              <w:right w:val="nil"/>
            </w:tcBorders>
            <w:shd w:val="clear" w:color="auto" w:fill="auto"/>
            <w:vAlign w:val="center"/>
            <w:hideMark/>
          </w:tcPr>
          <w:p w14:paraId="79D294C7"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netto  (%)                                                           </w:t>
            </w:r>
          </w:p>
        </w:tc>
        <w:tc>
          <w:tcPr>
            <w:tcW w:w="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A2855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-2,00%</w:t>
            </w:r>
          </w:p>
        </w:tc>
        <w:tc>
          <w:tcPr>
            <w:tcW w:w="920" w:type="dxa"/>
            <w:tcBorders>
              <w:top w:val="single" w:sz="4" w:space="0" w:color="auto"/>
              <w:left w:val="nil"/>
              <w:bottom w:val="single" w:sz="4" w:space="0" w:color="auto"/>
              <w:right w:val="single" w:sz="8" w:space="0" w:color="auto"/>
            </w:tcBorders>
            <w:shd w:val="clear" w:color="000000" w:fill="FFFFFF"/>
            <w:vAlign w:val="center"/>
            <w:hideMark/>
          </w:tcPr>
          <w:p w14:paraId="5BE21593" w14:textId="77777777" w:rsidR="008A53CD" w:rsidRPr="008A53CD" w:rsidRDefault="008A53CD" w:rsidP="008A53CD">
            <w:pPr>
              <w:suppressAutoHyphens w:val="0"/>
              <w:spacing w:line="240" w:lineRule="auto"/>
              <w:jc w:val="center"/>
              <w:rPr>
                <w:rFonts w:ascii="Comic Sans MS" w:hAnsi="Comic Sans MS" w:cs="Arial"/>
                <w:color w:val="auto"/>
                <w:sz w:val="20"/>
                <w:szCs w:val="20"/>
                <w:lang w:eastAsia="pl-PL"/>
              </w:rPr>
            </w:pPr>
            <w:r w:rsidRPr="008A53CD">
              <w:rPr>
                <w:rFonts w:ascii="Comic Sans MS" w:hAnsi="Comic Sans MS" w:cs="Arial"/>
                <w:color w:val="auto"/>
                <w:sz w:val="20"/>
                <w:szCs w:val="20"/>
                <w:lang w:eastAsia="pl-PL"/>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B62805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-1,42%</w:t>
            </w:r>
          </w:p>
        </w:tc>
        <w:tc>
          <w:tcPr>
            <w:tcW w:w="920" w:type="dxa"/>
            <w:tcBorders>
              <w:top w:val="single" w:sz="4" w:space="0" w:color="auto"/>
              <w:left w:val="nil"/>
              <w:bottom w:val="single" w:sz="4" w:space="0" w:color="auto"/>
              <w:right w:val="nil"/>
            </w:tcBorders>
            <w:shd w:val="clear" w:color="000000" w:fill="FFFFFF"/>
            <w:vAlign w:val="center"/>
            <w:hideMark/>
          </w:tcPr>
          <w:p w14:paraId="5CE3796D" w14:textId="77777777" w:rsidR="008A53CD" w:rsidRPr="008A53CD" w:rsidRDefault="008A53CD" w:rsidP="008A53CD">
            <w:pPr>
              <w:suppressAutoHyphens w:val="0"/>
              <w:spacing w:line="240" w:lineRule="auto"/>
              <w:jc w:val="center"/>
              <w:rPr>
                <w:rFonts w:ascii="Comic Sans MS" w:hAnsi="Comic Sans MS" w:cs="Arial"/>
                <w:color w:val="auto"/>
                <w:sz w:val="20"/>
                <w:szCs w:val="20"/>
                <w:lang w:eastAsia="pl-PL"/>
              </w:rPr>
            </w:pPr>
            <w:r w:rsidRPr="008A53CD">
              <w:rPr>
                <w:rFonts w:ascii="Comic Sans MS" w:hAnsi="Comic Sans MS" w:cs="Arial"/>
                <w:color w:val="auto"/>
                <w:sz w:val="20"/>
                <w:szCs w:val="20"/>
                <w:lang w:eastAsia="pl-PL"/>
              </w:rPr>
              <w:t>0</w:t>
            </w:r>
          </w:p>
        </w:tc>
        <w:tc>
          <w:tcPr>
            <w:tcW w:w="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B63E4A"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-0,52%</w:t>
            </w:r>
          </w:p>
        </w:tc>
        <w:tc>
          <w:tcPr>
            <w:tcW w:w="920" w:type="dxa"/>
            <w:tcBorders>
              <w:top w:val="single" w:sz="4" w:space="0" w:color="auto"/>
              <w:left w:val="nil"/>
              <w:bottom w:val="single" w:sz="4" w:space="0" w:color="auto"/>
              <w:right w:val="single" w:sz="8" w:space="0" w:color="auto"/>
            </w:tcBorders>
            <w:shd w:val="clear" w:color="000000" w:fill="FFFFFF"/>
            <w:vAlign w:val="center"/>
            <w:hideMark/>
          </w:tcPr>
          <w:p w14:paraId="738061BD" w14:textId="77777777" w:rsidR="008A53CD" w:rsidRPr="008A53CD" w:rsidRDefault="008A53CD" w:rsidP="008A53CD">
            <w:pPr>
              <w:suppressAutoHyphens w:val="0"/>
              <w:spacing w:line="240" w:lineRule="auto"/>
              <w:jc w:val="center"/>
              <w:rPr>
                <w:rFonts w:ascii="Comic Sans MS" w:hAnsi="Comic Sans MS" w:cs="Arial"/>
                <w:color w:val="auto"/>
                <w:sz w:val="20"/>
                <w:szCs w:val="20"/>
                <w:lang w:eastAsia="pl-PL"/>
              </w:rPr>
            </w:pPr>
            <w:r w:rsidRPr="008A53CD">
              <w:rPr>
                <w:rFonts w:ascii="Comic Sans MS" w:hAnsi="Comic Sans MS" w:cs="Arial"/>
                <w:color w:val="auto"/>
                <w:sz w:val="20"/>
                <w:szCs w:val="20"/>
                <w:lang w:eastAsia="pl-PL"/>
              </w:rPr>
              <w:t>0</w:t>
            </w:r>
          </w:p>
        </w:tc>
      </w:tr>
      <w:tr w:rsidR="008A53CD" w:rsidRPr="008A53CD" w14:paraId="309A69C6" w14:textId="77777777" w:rsidTr="008A53CD">
        <w:trPr>
          <w:trHeight w:val="945"/>
        </w:trPr>
        <w:tc>
          <w:tcPr>
            <w:tcW w:w="1680" w:type="dxa"/>
            <w:vMerge/>
            <w:tcBorders>
              <w:top w:val="nil"/>
              <w:left w:val="single" w:sz="8" w:space="0" w:color="auto"/>
              <w:bottom w:val="single" w:sz="8" w:space="0" w:color="000000"/>
              <w:right w:val="single" w:sz="8" w:space="0" w:color="auto"/>
            </w:tcBorders>
            <w:vAlign w:val="center"/>
            <w:hideMark/>
          </w:tcPr>
          <w:p w14:paraId="715B87E4"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p>
        </w:tc>
        <w:tc>
          <w:tcPr>
            <w:tcW w:w="2380" w:type="dxa"/>
            <w:tcBorders>
              <w:top w:val="nil"/>
              <w:left w:val="nil"/>
              <w:bottom w:val="single" w:sz="4" w:space="0" w:color="auto"/>
              <w:right w:val="nil"/>
            </w:tcBorders>
            <w:shd w:val="clear" w:color="auto" w:fill="auto"/>
            <w:vAlign w:val="center"/>
            <w:hideMark/>
          </w:tcPr>
          <w:p w14:paraId="5F791C2E"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działalności operacyjnej (%)            </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443AEF5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-1,37%</w:t>
            </w:r>
          </w:p>
        </w:tc>
        <w:tc>
          <w:tcPr>
            <w:tcW w:w="920" w:type="dxa"/>
            <w:tcBorders>
              <w:top w:val="nil"/>
              <w:left w:val="nil"/>
              <w:bottom w:val="single" w:sz="4" w:space="0" w:color="auto"/>
              <w:right w:val="single" w:sz="8" w:space="0" w:color="auto"/>
            </w:tcBorders>
            <w:shd w:val="clear" w:color="000000" w:fill="FFFFFF"/>
            <w:vAlign w:val="center"/>
            <w:hideMark/>
          </w:tcPr>
          <w:p w14:paraId="23FCEC9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nil"/>
              <w:bottom w:val="single" w:sz="4" w:space="0" w:color="auto"/>
              <w:right w:val="single" w:sz="4" w:space="0" w:color="auto"/>
            </w:tcBorders>
            <w:shd w:val="clear" w:color="auto" w:fill="auto"/>
            <w:vAlign w:val="center"/>
            <w:hideMark/>
          </w:tcPr>
          <w:p w14:paraId="390E4796"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-0,72%</w:t>
            </w:r>
          </w:p>
        </w:tc>
        <w:tc>
          <w:tcPr>
            <w:tcW w:w="920" w:type="dxa"/>
            <w:tcBorders>
              <w:top w:val="nil"/>
              <w:left w:val="nil"/>
              <w:bottom w:val="single" w:sz="4" w:space="0" w:color="auto"/>
              <w:right w:val="nil"/>
            </w:tcBorders>
            <w:shd w:val="clear" w:color="000000" w:fill="FFFFFF"/>
            <w:vAlign w:val="center"/>
            <w:hideMark/>
          </w:tcPr>
          <w:p w14:paraId="73DD055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01225E6E"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0,05%</w:t>
            </w:r>
          </w:p>
        </w:tc>
        <w:tc>
          <w:tcPr>
            <w:tcW w:w="920" w:type="dxa"/>
            <w:tcBorders>
              <w:top w:val="nil"/>
              <w:left w:val="nil"/>
              <w:bottom w:val="single" w:sz="4" w:space="0" w:color="auto"/>
              <w:right w:val="single" w:sz="8" w:space="0" w:color="auto"/>
            </w:tcBorders>
            <w:shd w:val="clear" w:color="000000" w:fill="FFFFFF"/>
            <w:vAlign w:val="center"/>
            <w:hideMark/>
          </w:tcPr>
          <w:p w14:paraId="1E8D5FA1"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3</w:t>
            </w:r>
          </w:p>
        </w:tc>
      </w:tr>
      <w:tr w:rsidR="008A53CD" w:rsidRPr="008A53CD" w14:paraId="54315C8C" w14:textId="77777777" w:rsidTr="008A53CD">
        <w:trPr>
          <w:trHeight w:val="675"/>
        </w:trPr>
        <w:tc>
          <w:tcPr>
            <w:tcW w:w="1680" w:type="dxa"/>
            <w:vMerge/>
            <w:tcBorders>
              <w:top w:val="nil"/>
              <w:left w:val="single" w:sz="8" w:space="0" w:color="auto"/>
              <w:bottom w:val="single" w:sz="8" w:space="0" w:color="000000"/>
              <w:right w:val="single" w:sz="8" w:space="0" w:color="auto"/>
            </w:tcBorders>
            <w:vAlign w:val="center"/>
            <w:hideMark/>
          </w:tcPr>
          <w:p w14:paraId="2ED89E72"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p>
        </w:tc>
        <w:tc>
          <w:tcPr>
            <w:tcW w:w="2380" w:type="dxa"/>
            <w:tcBorders>
              <w:top w:val="nil"/>
              <w:left w:val="nil"/>
              <w:bottom w:val="nil"/>
              <w:right w:val="nil"/>
            </w:tcBorders>
            <w:shd w:val="clear" w:color="auto" w:fill="auto"/>
            <w:vAlign w:val="center"/>
            <w:hideMark/>
          </w:tcPr>
          <w:p w14:paraId="47433E83"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zyskowność aktywów (%)</w:t>
            </w:r>
          </w:p>
        </w:tc>
        <w:tc>
          <w:tcPr>
            <w:tcW w:w="920" w:type="dxa"/>
            <w:tcBorders>
              <w:top w:val="nil"/>
              <w:left w:val="single" w:sz="8" w:space="0" w:color="auto"/>
              <w:bottom w:val="nil"/>
              <w:right w:val="single" w:sz="4" w:space="0" w:color="auto"/>
            </w:tcBorders>
            <w:shd w:val="clear" w:color="000000" w:fill="FFFFFF"/>
            <w:vAlign w:val="center"/>
            <w:hideMark/>
          </w:tcPr>
          <w:p w14:paraId="79C20788" w14:textId="77777777" w:rsidR="008A53CD" w:rsidRPr="008A53CD" w:rsidRDefault="008A53CD" w:rsidP="008A53CD">
            <w:pPr>
              <w:suppressAutoHyphens w:val="0"/>
              <w:spacing w:line="240" w:lineRule="auto"/>
              <w:jc w:val="center"/>
              <w:rPr>
                <w:rFonts w:ascii="Garamond" w:hAnsi="Garamond" w:cs="Arial"/>
                <w:sz w:val="22"/>
                <w:szCs w:val="22"/>
                <w:lang w:eastAsia="pl-PL"/>
              </w:rPr>
            </w:pPr>
            <w:r w:rsidRPr="008A53CD">
              <w:rPr>
                <w:rFonts w:ascii="Garamond" w:hAnsi="Garamond" w:cs="Arial"/>
                <w:sz w:val="22"/>
                <w:szCs w:val="22"/>
                <w:lang w:eastAsia="pl-PL"/>
              </w:rPr>
              <w:t>-2,46%</w:t>
            </w:r>
          </w:p>
        </w:tc>
        <w:tc>
          <w:tcPr>
            <w:tcW w:w="920" w:type="dxa"/>
            <w:tcBorders>
              <w:top w:val="nil"/>
              <w:left w:val="nil"/>
              <w:bottom w:val="single" w:sz="4" w:space="0" w:color="auto"/>
              <w:right w:val="single" w:sz="8" w:space="0" w:color="auto"/>
            </w:tcBorders>
            <w:shd w:val="clear" w:color="000000" w:fill="FFFFFF"/>
            <w:vAlign w:val="center"/>
            <w:hideMark/>
          </w:tcPr>
          <w:p w14:paraId="23A7F022"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nil"/>
              <w:bottom w:val="nil"/>
              <w:right w:val="single" w:sz="4" w:space="0" w:color="auto"/>
            </w:tcBorders>
            <w:shd w:val="clear" w:color="000000" w:fill="FFFFFF"/>
            <w:vAlign w:val="center"/>
            <w:hideMark/>
          </w:tcPr>
          <w:p w14:paraId="7CB40869" w14:textId="77777777" w:rsidR="008A53CD" w:rsidRPr="008A53CD" w:rsidRDefault="008A53CD" w:rsidP="008A53CD">
            <w:pPr>
              <w:suppressAutoHyphens w:val="0"/>
              <w:spacing w:line="240" w:lineRule="auto"/>
              <w:jc w:val="center"/>
              <w:rPr>
                <w:rFonts w:ascii="Garamond" w:hAnsi="Garamond" w:cs="Arial"/>
                <w:sz w:val="22"/>
                <w:szCs w:val="22"/>
                <w:lang w:eastAsia="pl-PL"/>
              </w:rPr>
            </w:pPr>
            <w:r w:rsidRPr="008A53CD">
              <w:rPr>
                <w:rFonts w:ascii="Garamond" w:hAnsi="Garamond" w:cs="Arial"/>
                <w:sz w:val="22"/>
                <w:szCs w:val="22"/>
                <w:lang w:eastAsia="pl-PL"/>
              </w:rPr>
              <w:t>-1,87%</w:t>
            </w:r>
          </w:p>
        </w:tc>
        <w:tc>
          <w:tcPr>
            <w:tcW w:w="920" w:type="dxa"/>
            <w:tcBorders>
              <w:top w:val="nil"/>
              <w:left w:val="nil"/>
              <w:bottom w:val="single" w:sz="4" w:space="0" w:color="auto"/>
              <w:right w:val="nil"/>
            </w:tcBorders>
            <w:shd w:val="clear" w:color="000000" w:fill="FFFFFF"/>
            <w:vAlign w:val="center"/>
            <w:hideMark/>
          </w:tcPr>
          <w:p w14:paraId="21B3AFF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single" w:sz="8" w:space="0" w:color="auto"/>
              <w:bottom w:val="single" w:sz="8" w:space="0" w:color="auto"/>
              <w:right w:val="single" w:sz="4" w:space="0" w:color="auto"/>
            </w:tcBorders>
            <w:shd w:val="clear" w:color="000000" w:fill="FFFFFF"/>
            <w:vAlign w:val="center"/>
            <w:hideMark/>
          </w:tcPr>
          <w:p w14:paraId="0572481D" w14:textId="77777777" w:rsidR="008A53CD" w:rsidRPr="008A53CD" w:rsidRDefault="008A53CD" w:rsidP="008A53CD">
            <w:pPr>
              <w:suppressAutoHyphens w:val="0"/>
              <w:spacing w:line="240" w:lineRule="auto"/>
              <w:jc w:val="center"/>
              <w:rPr>
                <w:rFonts w:ascii="Garamond" w:hAnsi="Garamond" w:cs="Arial"/>
                <w:sz w:val="22"/>
                <w:szCs w:val="22"/>
                <w:lang w:eastAsia="pl-PL"/>
              </w:rPr>
            </w:pPr>
            <w:r w:rsidRPr="008A53CD">
              <w:rPr>
                <w:rFonts w:ascii="Garamond" w:hAnsi="Garamond" w:cs="Arial"/>
                <w:sz w:val="22"/>
                <w:szCs w:val="22"/>
                <w:lang w:eastAsia="pl-PL"/>
              </w:rPr>
              <w:t>-0,68%</w:t>
            </w:r>
          </w:p>
        </w:tc>
        <w:tc>
          <w:tcPr>
            <w:tcW w:w="920" w:type="dxa"/>
            <w:tcBorders>
              <w:top w:val="nil"/>
              <w:left w:val="nil"/>
              <w:bottom w:val="single" w:sz="8" w:space="0" w:color="auto"/>
              <w:right w:val="single" w:sz="8" w:space="0" w:color="auto"/>
            </w:tcBorders>
            <w:shd w:val="clear" w:color="000000" w:fill="FFFFFF"/>
            <w:vAlign w:val="center"/>
            <w:hideMark/>
          </w:tcPr>
          <w:p w14:paraId="0C45288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r>
      <w:tr w:rsidR="008A53CD" w:rsidRPr="008A53CD" w14:paraId="3DD12D46" w14:textId="77777777" w:rsidTr="008A53CD">
        <w:trPr>
          <w:trHeight w:val="315"/>
        </w:trPr>
        <w:tc>
          <w:tcPr>
            <w:tcW w:w="4060" w:type="dxa"/>
            <w:gridSpan w:val="2"/>
            <w:tcBorders>
              <w:top w:val="single" w:sz="8" w:space="0" w:color="auto"/>
              <w:left w:val="nil"/>
              <w:bottom w:val="nil"/>
              <w:right w:val="nil"/>
            </w:tcBorders>
            <w:shd w:val="clear" w:color="000000" w:fill="FFFFFF"/>
            <w:noWrap/>
            <w:vAlign w:val="center"/>
            <w:hideMark/>
          </w:tcPr>
          <w:p w14:paraId="04B850F6"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2E06A8A3"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508042B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0</w:t>
            </w:r>
          </w:p>
        </w:tc>
        <w:tc>
          <w:tcPr>
            <w:tcW w:w="920" w:type="dxa"/>
            <w:tcBorders>
              <w:top w:val="single" w:sz="8" w:space="0" w:color="auto"/>
              <w:left w:val="nil"/>
              <w:bottom w:val="single" w:sz="8" w:space="0" w:color="auto"/>
              <w:right w:val="nil"/>
            </w:tcBorders>
            <w:shd w:val="clear" w:color="000000" w:fill="969696"/>
            <w:vAlign w:val="center"/>
            <w:hideMark/>
          </w:tcPr>
          <w:p w14:paraId="638B5318"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72FFB4E7"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0</w:t>
            </w:r>
          </w:p>
        </w:tc>
        <w:tc>
          <w:tcPr>
            <w:tcW w:w="920" w:type="dxa"/>
            <w:tcBorders>
              <w:top w:val="nil"/>
              <w:left w:val="nil"/>
              <w:bottom w:val="single" w:sz="8" w:space="0" w:color="auto"/>
              <w:right w:val="nil"/>
            </w:tcBorders>
            <w:shd w:val="clear" w:color="000000" w:fill="969696"/>
            <w:vAlign w:val="center"/>
            <w:hideMark/>
          </w:tcPr>
          <w:p w14:paraId="56CC056B"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nil"/>
              <w:left w:val="nil"/>
              <w:bottom w:val="single" w:sz="8" w:space="0" w:color="auto"/>
              <w:right w:val="single" w:sz="8" w:space="0" w:color="auto"/>
            </w:tcBorders>
            <w:shd w:val="clear" w:color="000000" w:fill="969696"/>
            <w:vAlign w:val="center"/>
            <w:hideMark/>
          </w:tcPr>
          <w:p w14:paraId="6BF8AB5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3</w:t>
            </w:r>
          </w:p>
        </w:tc>
      </w:tr>
      <w:tr w:rsidR="008A53CD" w:rsidRPr="008A53CD" w14:paraId="58F3E04D" w14:textId="77777777" w:rsidTr="008A53CD">
        <w:trPr>
          <w:trHeight w:val="120"/>
        </w:trPr>
        <w:tc>
          <w:tcPr>
            <w:tcW w:w="1680" w:type="dxa"/>
            <w:tcBorders>
              <w:top w:val="nil"/>
              <w:left w:val="nil"/>
              <w:bottom w:val="nil"/>
              <w:right w:val="nil"/>
            </w:tcBorders>
            <w:shd w:val="clear" w:color="000000" w:fill="FFFFFF"/>
            <w:noWrap/>
            <w:vAlign w:val="center"/>
            <w:hideMark/>
          </w:tcPr>
          <w:p w14:paraId="1CC2B12C"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2380" w:type="dxa"/>
            <w:tcBorders>
              <w:top w:val="nil"/>
              <w:left w:val="nil"/>
              <w:bottom w:val="nil"/>
              <w:right w:val="nil"/>
            </w:tcBorders>
            <w:shd w:val="clear" w:color="000000" w:fill="FFFFFF"/>
            <w:noWrap/>
            <w:vAlign w:val="center"/>
            <w:hideMark/>
          </w:tcPr>
          <w:p w14:paraId="7413972F"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920" w:type="dxa"/>
            <w:tcBorders>
              <w:top w:val="nil"/>
              <w:left w:val="nil"/>
              <w:bottom w:val="nil"/>
              <w:right w:val="nil"/>
            </w:tcBorders>
            <w:shd w:val="clear" w:color="000000" w:fill="FFFFFF"/>
            <w:vAlign w:val="center"/>
            <w:hideMark/>
          </w:tcPr>
          <w:p w14:paraId="2E9BDABD"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920" w:type="dxa"/>
            <w:tcBorders>
              <w:top w:val="nil"/>
              <w:left w:val="nil"/>
              <w:bottom w:val="nil"/>
              <w:right w:val="nil"/>
            </w:tcBorders>
            <w:shd w:val="clear" w:color="000000" w:fill="FFFFFF"/>
            <w:vAlign w:val="center"/>
            <w:hideMark/>
          </w:tcPr>
          <w:p w14:paraId="2C235775"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c>
          <w:tcPr>
            <w:tcW w:w="920" w:type="dxa"/>
            <w:tcBorders>
              <w:top w:val="nil"/>
              <w:left w:val="nil"/>
              <w:bottom w:val="nil"/>
              <w:right w:val="nil"/>
            </w:tcBorders>
            <w:shd w:val="clear" w:color="000000" w:fill="FFFFFF"/>
            <w:vAlign w:val="center"/>
            <w:hideMark/>
          </w:tcPr>
          <w:p w14:paraId="62DEF254"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920" w:type="dxa"/>
            <w:tcBorders>
              <w:top w:val="nil"/>
              <w:left w:val="nil"/>
              <w:bottom w:val="nil"/>
              <w:right w:val="nil"/>
            </w:tcBorders>
            <w:shd w:val="clear" w:color="000000" w:fill="FFFFFF"/>
            <w:vAlign w:val="center"/>
            <w:hideMark/>
          </w:tcPr>
          <w:p w14:paraId="1E035DA7"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c>
          <w:tcPr>
            <w:tcW w:w="920" w:type="dxa"/>
            <w:tcBorders>
              <w:top w:val="nil"/>
              <w:left w:val="nil"/>
              <w:bottom w:val="nil"/>
              <w:right w:val="nil"/>
            </w:tcBorders>
            <w:shd w:val="clear" w:color="000000" w:fill="FFFFFF"/>
            <w:vAlign w:val="center"/>
            <w:hideMark/>
          </w:tcPr>
          <w:p w14:paraId="022CA10B"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920" w:type="dxa"/>
            <w:tcBorders>
              <w:top w:val="nil"/>
              <w:left w:val="nil"/>
              <w:bottom w:val="nil"/>
              <w:right w:val="nil"/>
            </w:tcBorders>
            <w:shd w:val="clear" w:color="000000" w:fill="FFFFFF"/>
            <w:vAlign w:val="center"/>
            <w:hideMark/>
          </w:tcPr>
          <w:p w14:paraId="052AE084"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r>
      <w:tr w:rsidR="008A53CD" w:rsidRPr="008A53CD" w14:paraId="2F572ACD" w14:textId="77777777" w:rsidTr="008A53CD">
        <w:trPr>
          <w:trHeight w:val="735"/>
        </w:trPr>
        <w:tc>
          <w:tcPr>
            <w:tcW w:w="1680"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1EF0CB39" w14:textId="77777777" w:rsidR="008A53CD" w:rsidRPr="008A53CD" w:rsidRDefault="008A53CD" w:rsidP="008A53CD">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II. WSKAŹNIKI PŁYNNOŚCI</w:t>
            </w:r>
          </w:p>
        </w:tc>
        <w:tc>
          <w:tcPr>
            <w:tcW w:w="2380" w:type="dxa"/>
            <w:tcBorders>
              <w:top w:val="single" w:sz="8" w:space="0" w:color="auto"/>
              <w:left w:val="nil"/>
              <w:bottom w:val="single" w:sz="4" w:space="0" w:color="auto"/>
              <w:right w:val="nil"/>
            </w:tcBorders>
            <w:shd w:val="clear" w:color="auto" w:fill="auto"/>
            <w:vAlign w:val="center"/>
            <w:hideMark/>
          </w:tcPr>
          <w:p w14:paraId="16B10B6C"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bieżącej płynności                                           </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0FED2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0,54</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7B0AA100"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14:paraId="61CF6C0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0,54</w:t>
            </w:r>
          </w:p>
        </w:tc>
        <w:tc>
          <w:tcPr>
            <w:tcW w:w="920" w:type="dxa"/>
            <w:tcBorders>
              <w:top w:val="single" w:sz="8" w:space="0" w:color="auto"/>
              <w:left w:val="nil"/>
              <w:bottom w:val="single" w:sz="4" w:space="0" w:color="auto"/>
              <w:right w:val="nil"/>
            </w:tcBorders>
            <w:shd w:val="clear" w:color="000000" w:fill="FFFFFF"/>
            <w:vAlign w:val="center"/>
            <w:hideMark/>
          </w:tcPr>
          <w:p w14:paraId="6D70C353"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02457C"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0,61</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6430631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4</w:t>
            </w:r>
          </w:p>
        </w:tc>
      </w:tr>
      <w:tr w:rsidR="008A53CD" w:rsidRPr="008A53CD" w14:paraId="64AEB595" w14:textId="77777777" w:rsidTr="008A53CD">
        <w:trPr>
          <w:trHeight w:val="720"/>
        </w:trPr>
        <w:tc>
          <w:tcPr>
            <w:tcW w:w="1680" w:type="dxa"/>
            <w:vMerge/>
            <w:tcBorders>
              <w:top w:val="single" w:sz="8" w:space="0" w:color="auto"/>
              <w:left w:val="single" w:sz="8" w:space="0" w:color="auto"/>
              <w:bottom w:val="single" w:sz="8" w:space="0" w:color="000000"/>
              <w:right w:val="single" w:sz="8" w:space="0" w:color="auto"/>
            </w:tcBorders>
            <w:vAlign w:val="center"/>
            <w:hideMark/>
          </w:tcPr>
          <w:p w14:paraId="3E11B717"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p>
        </w:tc>
        <w:tc>
          <w:tcPr>
            <w:tcW w:w="2380" w:type="dxa"/>
            <w:tcBorders>
              <w:top w:val="nil"/>
              <w:left w:val="nil"/>
              <w:bottom w:val="single" w:sz="4" w:space="0" w:color="auto"/>
              <w:right w:val="nil"/>
            </w:tcBorders>
            <w:shd w:val="clear" w:color="auto" w:fill="auto"/>
            <w:vAlign w:val="center"/>
            <w:hideMark/>
          </w:tcPr>
          <w:p w14:paraId="48A9C52C"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szybkiej płynności</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33FDFE5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0,51</w:t>
            </w:r>
          </w:p>
        </w:tc>
        <w:tc>
          <w:tcPr>
            <w:tcW w:w="920" w:type="dxa"/>
            <w:tcBorders>
              <w:top w:val="nil"/>
              <w:left w:val="nil"/>
              <w:bottom w:val="single" w:sz="4" w:space="0" w:color="auto"/>
              <w:right w:val="single" w:sz="8" w:space="0" w:color="auto"/>
            </w:tcBorders>
            <w:shd w:val="clear" w:color="000000" w:fill="FFFFFF"/>
            <w:vAlign w:val="center"/>
            <w:hideMark/>
          </w:tcPr>
          <w:p w14:paraId="3212B216"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920" w:type="dxa"/>
            <w:tcBorders>
              <w:top w:val="nil"/>
              <w:left w:val="nil"/>
              <w:bottom w:val="single" w:sz="4" w:space="0" w:color="auto"/>
              <w:right w:val="single" w:sz="4" w:space="0" w:color="auto"/>
            </w:tcBorders>
            <w:shd w:val="clear" w:color="auto" w:fill="auto"/>
            <w:vAlign w:val="center"/>
            <w:hideMark/>
          </w:tcPr>
          <w:p w14:paraId="1246BA1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0,51</w:t>
            </w:r>
          </w:p>
        </w:tc>
        <w:tc>
          <w:tcPr>
            <w:tcW w:w="920" w:type="dxa"/>
            <w:tcBorders>
              <w:top w:val="nil"/>
              <w:left w:val="nil"/>
              <w:bottom w:val="single" w:sz="4" w:space="0" w:color="auto"/>
              <w:right w:val="nil"/>
            </w:tcBorders>
            <w:shd w:val="clear" w:color="000000" w:fill="FFFFFF"/>
            <w:vAlign w:val="center"/>
            <w:hideMark/>
          </w:tcPr>
          <w:p w14:paraId="3E5E558E"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440507D2"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0,59</w:t>
            </w:r>
          </w:p>
        </w:tc>
        <w:tc>
          <w:tcPr>
            <w:tcW w:w="920" w:type="dxa"/>
            <w:tcBorders>
              <w:top w:val="nil"/>
              <w:left w:val="nil"/>
              <w:bottom w:val="single" w:sz="4" w:space="0" w:color="auto"/>
              <w:right w:val="single" w:sz="8" w:space="0" w:color="auto"/>
            </w:tcBorders>
            <w:shd w:val="clear" w:color="000000" w:fill="FFFFFF"/>
            <w:vAlign w:val="center"/>
            <w:hideMark/>
          </w:tcPr>
          <w:p w14:paraId="1009D7F6"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r>
      <w:tr w:rsidR="008A53CD" w:rsidRPr="008A53CD" w14:paraId="6627C8FC" w14:textId="77777777" w:rsidTr="008A53CD">
        <w:trPr>
          <w:trHeight w:val="360"/>
        </w:trPr>
        <w:tc>
          <w:tcPr>
            <w:tcW w:w="4060" w:type="dxa"/>
            <w:gridSpan w:val="2"/>
            <w:tcBorders>
              <w:top w:val="single" w:sz="8" w:space="0" w:color="auto"/>
              <w:left w:val="nil"/>
              <w:bottom w:val="nil"/>
              <w:right w:val="nil"/>
            </w:tcBorders>
            <w:shd w:val="clear" w:color="000000" w:fill="FFFFFF"/>
            <w:noWrap/>
            <w:vAlign w:val="center"/>
            <w:hideMark/>
          </w:tcPr>
          <w:p w14:paraId="1D78FE55"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45C1B741"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33A0112E"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8</w:t>
            </w:r>
          </w:p>
        </w:tc>
        <w:tc>
          <w:tcPr>
            <w:tcW w:w="920" w:type="dxa"/>
            <w:tcBorders>
              <w:top w:val="single" w:sz="8" w:space="0" w:color="auto"/>
              <w:left w:val="nil"/>
              <w:bottom w:val="single" w:sz="8" w:space="0" w:color="auto"/>
              <w:right w:val="nil"/>
            </w:tcBorders>
            <w:shd w:val="clear" w:color="000000" w:fill="969696"/>
            <w:vAlign w:val="center"/>
            <w:hideMark/>
          </w:tcPr>
          <w:p w14:paraId="1EBFE003"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nil"/>
            </w:tcBorders>
            <w:shd w:val="clear" w:color="000000" w:fill="969696"/>
            <w:vAlign w:val="center"/>
            <w:hideMark/>
          </w:tcPr>
          <w:p w14:paraId="4201A5D0"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8</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5442E46B"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2541BE2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12</w:t>
            </w:r>
          </w:p>
        </w:tc>
      </w:tr>
      <w:tr w:rsidR="008A53CD" w:rsidRPr="008A53CD" w14:paraId="02626588" w14:textId="77777777" w:rsidTr="008A53CD">
        <w:trPr>
          <w:trHeight w:val="120"/>
        </w:trPr>
        <w:tc>
          <w:tcPr>
            <w:tcW w:w="1680" w:type="dxa"/>
            <w:tcBorders>
              <w:top w:val="nil"/>
              <w:left w:val="nil"/>
              <w:bottom w:val="nil"/>
              <w:right w:val="nil"/>
            </w:tcBorders>
            <w:shd w:val="clear" w:color="auto" w:fill="auto"/>
            <w:noWrap/>
            <w:vAlign w:val="center"/>
            <w:hideMark/>
          </w:tcPr>
          <w:p w14:paraId="1F5652F3"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2380" w:type="dxa"/>
            <w:tcBorders>
              <w:top w:val="nil"/>
              <w:left w:val="nil"/>
              <w:bottom w:val="nil"/>
              <w:right w:val="nil"/>
            </w:tcBorders>
            <w:shd w:val="clear" w:color="auto" w:fill="auto"/>
            <w:vAlign w:val="center"/>
            <w:hideMark/>
          </w:tcPr>
          <w:p w14:paraId="4DB9013A"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single" w:sz="4" w:space="0" w:color="auto"/>
              <w:left w:val="nil"/>
              <w:bottom w:val="nil"/>
              <w:right w:val="nil"/>
            </w:tcBorders>
            <w:shd w:val="clear" w:color="auto" w:fill="auto"/>
            <w:vAlign w:val="center"/>
            <w:hideMark/>
          </w:tcPr>
          <w:p w14:paraId="4D70FCD0"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920" w:type="dxa"/>
            <w:tcBorders>
              <w:top w:val="single" w:sz="4" w:space="0" w:color="auto"/>
              <w:left w:val="nil"/>
              <w:bottom w:val="nil"/>
              <w:right w:val="nil"/>
            </w:tcBorders>
            <w:shd w:val="clear" w:color="auto" w:fill="auto"/>
            <w:vAlign w:val="center"/>
            <w:hideMark/>
          </w:tcPr>
          <w:p w14:paraId="029FA33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920" w:type="dxa"/>
            <w:tcBorders>
              <w:top w:val="single" w:sz="4" w:space="0" w:color="auto"/>
              <w:left w:val="nil"/>
              <w:bottom w:val="nil"/>
              <w:right w:val="nil"/>
            </w:tcBorders>
            <w:shd w:val="clear" w:color="auto" w:fill="auto"/>
            <w:vAlign w:val="center"/>
            <w:hideMark/>
          </w:tcPr>
          <w:p w14:paraId="41460F4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920" w:type="dxa"/>
            <w:tcBorders>
              <w:top w:val="single" w:sz="4" w:space="0" w:color="auto"/>
              <w:left w:val="nil"/>
              <w:bottom w:val="nil"/>
              <w:right w:val="nil"/>
            </w:tcBorders>
            <w:shd w:val="clear" w:color="auto" w:fill="auto"/>
            <w:vAlign w:val="center"/>
            <w:hideMark/>
          </w:tcPr>
          <w:p w14:paraId="37C633BA"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920" w:type="dxa"/>
            <w:tcBorders>
              <w:top w:val="single" w:sz="4" w:space="0" w:color="auto"/>
              <w:left w:val="nil"/>
              <w:bottom w:val="nil"/>
              <w:right w:val="nil"/>
            </w:tcBorders>
            <w:shd w:val="clear" w:color="auto" w:fill="auto"/>
            <w:vAlign w:val="center"/>
            <w:hideMark/>
          </w:tcPr>
          <w:p w14:paraId="49BB31D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920" w:type="dxa"/>
            <w:tcBorders>
              <w:top w:val="single" w:sz="4" w:space="0" w:color="auto"/>
              <w:left w:val="nil"/>
              <w:bottom w:val="nil"/>
              <w:right w:val="nil"/>
            </w:tcBorders>
            <w:shd w:val="clear" w:color="auto" w:fill="auto"/>
            <w:vAlign w:val="center"/>
            <w:hideMark/>
          </w:tcPr>
          <w:p w14:paraId="2D7526E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r>
      <w:tr w:rsidR="008A53CD" w:rsidRPr="008A53CD" w14:paraId="3248AD65" w14:textId="77777777" w:rsidTr="008A53CD">
        <w:trPr>
          <w:trHeight w:val="750"/>
        </w:trPr>
        <w:tc>
          <w:tcPr>
            <w:tcW w:w="1680"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13DDBE51" w14:textId="77777777" w:rsidR="008A53CD" w:rsidRPr="008A53CD" w:rsidRDefault="008A53CD" w:rsidP="008A53CD">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III. WSKAŹNIKI EFEKTYWNOŚCI</w:t>
            </w:r>
          </w:p>
        </w:tc>
        <w:tc>
          <w:tcPr>
            <w:tcW w:w="2380" w:type="dxa"/>
            <w:tcBorders>
              <w:top w:val="single" w:sz="8" w:space="0" w:color="auto"/>
              <w:left w:val="nil"/>
              <w:bottom w:val="single" w:sz="4" w:space="0" w:color="auto"/>
              <w:right w:val="nil"/>
            </w:tcBorders>
            <w:shd w:val="clear" w:color="auto" w:fill="auto"/>
            <w:vAlign w:val="center"/>
            <w:hideMark/>
          </w:tcPr>
          <w:p w14:paraId="3CDAEDD7"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rotacji należności                                     (w dniach)                           </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E3155E" w14:textId="25072AD3"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4</w:t>
            </w:r>
            <w:r w:rsidR="00A22799">
              <w:rPr>
                <w:rFonts w:ascii="Garamond" w:hAnsi="Garamond" w:cs="Arial"/>
                <w:color w:val="auto"/>
                <w:sz w:val="22"/>
                <w:szCs w:val="22"/>
                <w:lang w:eastAsia="pl-PL"/>
              </w:rPr>
              <w:t>9</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63B77CD4" w14:textId="451E37F0" w:rsidR="008A53CD" w:rsidRPr="008A53CD" w:rsidRDefault="00A22799"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14:paraId="113CCE60" w14:textId="357EF3CD" w:rsidR="008A53CD" w:rsidRPr="008A53CD" w:rsidRDefault="00A22799"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49</w:t>
            </w:r>
          </w:p>
        </w:tc>
        <w:tc>
          <w:tcPr>
            <w:tcW w:w="920" w:type="dxa"/>
            <w:tcBorders>
              <w:top w:val="single" w:sz="8" w:space="0" w:color="auto"/>
              <w:left w:val="nil"/>
              <w:bottom w:val="single" w:sz="4" w:space="0" w:color="auto"/>
              <w:right w:val="nil"/>
            </w:tcBorders>
            <w:shd w:val="clear" w:color="000000" w:fill="FFFFFF"/>
            <w:vAlign w:val="center"/>
            <w:hideMark/>
          </w:tcPr>
          <w:p w14:paraId="64C5E7EE" w14:textId="757C4876" w:rsidR="008A53CD" w:rsidRPr="008A53CD" w:rsidRDefault="00A22799"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F7200" w14:textId="5953DC16" w:rsidR="008A53CD" w:rsidRPr="008A53CD" w:rsidRDefault="00A22799"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52</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43A529FD" w14:textId="06336566" w:rsidR="008A53CD" w:rsidRPr="008A53CD" w:rsidRDefault="00A22799"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r>
      <w:tr w:rsidR="008A53CD" w:rsidRPr="008A53CD" w14:paraId="2933677A" w14:textId="77777777" w:rsidTr="008A53CD">
        <w:trPr>
          <w:trHeight w:val="975"/>
        </w:trPr>
        <w:tc>
          <w:tcPr>
            <w:tcW w:w="1680" w:type="dxa"/>
            <w:vMerge/>
            <w:tcBorders>
              <w:top w:val="single" w:sz="8" w:space="0" w:color="auto"/>
              <w:left w:val="single" w:sz="8" w:space="0" w:color="auto"/>
              <w:bottom w:val="single" w:sz="8" w:space="0" w:color="000000"/>
              <w:right w:val="single" w:sz="8" w:space="0" w:color="auto"/>
            </w:tcBorders>
            <w:vAlign w:val="center"/>
            <w:hideMark/>
          </w:tcPr>
          <w:p w14:paraId="2930D768"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p>
        </w:tc>
        <w:tc>
          <w:tcPr>
            <w:tcW w:w="2380" w:type="dxa"/>
            <w:tcBorders>
              <w:top w:val="nil"/>
              <w:left w:val="nil"/>
              <w:bottom w:val="single" w:sz="4" w:space="0" w:color="auto"/>
              <w:right w:val="nil"/>
            </w:tcBorders>
            <w:shd w:val="clear" w:color="auto" w:fill="auto"/>
            <w:vAlign w:val="center"/>
            <w:hideMark/>
          </w:tcPr>
          <w:p w14:paraId="51C470D8"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rotacji zobowiązań                                          (w dniach)</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7829F3E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23</w:t>
            </w:r>
          </w:p>
        </w:tc>
        <w:tc>
          <w:tcPr>
            <w:tcW w:w="920" w:type="dxa"/>
            <w:tcBorders>
              <w:top w:val="nil"/>
              <w:left w:val="nil"/>
              <w:bottom w:val="single" w:sz="4" w:space="0" w:color="auto"/>
              <w:right w:val="single" w:sz="8" w:space="0" w:color="auto"/>
            </w:tcBorders>
            <w:shd w:val="clear" w:color="000000" w:fill="FFFFFF"/>
            <w:vAlign w:val="center"/>
            <w:hideMark/>
          </w:tcPr>
          <w:p w14:paraId="7C7F7C52"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920" w:type="dxa"/>
            <w:tcBorders>
              <w:top w:val="nil"/>
              <w:left w:val="nil"/>
              <w:bottom w:val="single" w:sz="4" w:space="0" w:color="auto"/>
              <w:right w:val="single" w:sz="4" w:space="0" w:color="auto"/>
            </w:tcBorders>
            <w:shd w:val="clear" w:color="auto" w:fill="auto"/>
            <w:vAlign w:val="center"/>
            <w:hideMark/>
          </w:tcPr>
          <w:p w14:paraId="41D1630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25</w:t>
            </w:r>
          </w:p>
        </w:tc>
        <w:tc>
          <w:tcPr>
            <w:tcW w:w="920" w:type="dxa"/>
            <w:tcBorders>
              <w:top w:val="nil"/>
              <w:left w:val="nil"/>
              <w:bottom w:val="single" w:sz="4" w:space="0" w:color="auto"/>
              <w:right w:val="nil"/>
            </w:tcBorders>
            <w:shd w:val="clear" w:color="000000" w:fill="FFFFFF"/>
            <w:vAlign w:val="center"/>
            <w:hideMark/>
          </w:tcPr>
          <w:p w14:paraId="18D0EC85"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220E702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28</w:t>
            </w:r>
          </w:p>
        </w:tc>
        <w:tc>
          <w:tcPr>
            <w:tcW w:w="920" w:type="dxa"/>
            <w:tcBorders>
              <w:top w:val="nil"/>
              <w:left w:val="nil"/>
              <w:bottom w:val="single" w:sz="4" w:space="0" w:color="auto"/>
              <w:right w:val="single" w:sz="8" w:space="0" w:color="auto"/>
            </w:tcBorders>
            <w:shd w:val="clear" w:color="000000" w:fill="FFFFFF"/>
            <w:vAlign w:val="center"/>
            <w:hideMark/>
          </w:tcPr>
          <w:p w14:paraId="1EF146BC"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r>
      <w:tr w:rsidR="008A53CD" w:rsidRPr="008A53CD" w14:paraId="37820C7F" w14:textId="77777777" w:rsidTr="008A53CD">
        <w:trPr>
          <w:trHeight w:val="390"/>
        </w:trPr>
        <w:tc>
          <w:tcPr>
            <w:tcW w:w="4060" w:type="dxa"/>
            <w:gridSpan w:val="2"/>
            <w:tcBorders>
              <w:top w:val="single" w:sz="8" w:space="0" w:color="auto"/>
              <w:left w:val="nil"/>
              <w:bottom w:val="nil"/>
              <w:right w:val="nil"/>
            </w:tcBorders>
            <w:shd w:val="clear" w:color="000000" w:fill="FFFFFF"/>
            <w:noWrap/>
            <w:vAlign w:val="center"/>
            <w:hideMark/>
          </w:tcPr>
          <w:p w14:paraId="34156A3E"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3499ABD5"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0661E605" w14:textId="01844964"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9</w:t>
            </w:r>
          </w:p>
        </w:tc>
        <w:tc>
          <w:tcPr>
            <w:tcW w:w="920" w:type="dxa"/>
            <w:tcBorders>
              <w:top w:val="single" w:sz="8" w:space="0" w:color="auto"/>
              <w:left w:val="nil"/>
              <w:bottom w:val="single" w:sz="8" w:space="0" w:color="auto"/>
              <w:right w:val="nil"/>
            </w:tcBorders>
            <w:shd w:val="clear" w:color="000000" w:fill="969696"/>
            <w:vAlign w:val="center"/>
            <w:hideMark/>
          </w:tcPr>
          <w:p w14:paraId="74C206E9"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nil"/>
            </w:tcBorders>
            <w:shd w:val="clear" w:color="000000" w:fill="969696"/>
            <w:vAlign w:val="center"/>
            <w:hideMark/>
          </w:tcPr>
          <w:p w14:paraId="52900238" w14:textId="61109EDA"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9</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79B1F5A2"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3B293925" w14:textId="1E17EF9E"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9</w:t>
            </w:r>
          </w:p>
        </w:tc>
      </w:tr>
      <w:tr w:rsidR="008A53CD" w:rsidRPr="008A53CD" w14:paraId="215CF25C" w14:textId="77777777" w:rsidTr="008A53CD">
        <w:trPr>
          <w:trHeight w:val="165"/>
        </w:trPr>
        <w:tc>
          <w:tcPr>
            <w:tcW w:w="1680" w:type="dxa"/>
            <w:tcBorders>
              <w:top w:val="nil"/>
              <w:left w:val="nil"/>
              <w:bottom w:val="nil"/>
              <w:right w:val="nil"/>
            </w:tcBorders>
            <w:shd w:val="clear" w:color="auto" w:fill="auto"/>
            <w:noWrap/>
            <w:vAlign w:val="bottom"/>
            <w:hideMark/>
          </w:tcPr>
          <w:p w14:paraId="132625A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2380" w:type="dxa"/>
            <w:tcBorders>
              <w:top w:val="nil"/>
              <w:left w:val="nil"/>
              <w:bottom w:val="nil"/>
              <w:right w:val="nil"/>
            </w:tcBorders>
            <w:shd w:val="clear" w:color="auto" w:fill="auto"/>
            <w:noWrap/>
            <w:vAlign w:val="bottom"/>
            <w:hideMark/>
          </w:tcPr>
          <w:p w14:paraId="397E3B86"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3ABE59B3"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3383EF96"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678B12E0"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5D5FFCDB"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46744376"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754CE0E7" w14:textId="77777777" w:rsidR="008A53CD" w:rsidRPr="008A53CD" w:rsidRDefault="008A53CD" w:rsidP="008A53CD">
            <w:pPr>
              <w:suppressAutoHyphens w:val="0"/>
              <w:spacing w:line="240" w:lineRule="auto"/>
              <w:jc w:val="center"/>
              <w:rPr>
                <w:color w:val="auto"/>
                <w:sz w:val="20"/>
                <w:szCs w:val="20"/>
                <w:lang w:eastAsia="pl-PL"/>
              </w:rPr>
            </w:pPr>
          </w:p>
        </w:tc>
      </w:tr>
      <w:tr w:rsidR="008A53CD" w:rsidRPr="008A53CD" w14:paraId="4F3786F9" w14:textId="77777777" w:rsidTr="008A53CD">
        <w:trPr>
          <w:trHeight w:val="600"/>
        </w:trPr>
        <w:tc>
          <w:tcPr>
            <w:tcW w:w="1680"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05CA7164" w14:textId="77777777" w:rsidR="008A53CD" w:rsidRPr="008A53CD" w:rsidRDefault="008A53CD" w:rsidP="008A53CD">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IV. WSKAŹNIKI ZADŁUŻENIA</w:t>
            </w:r>
          </w:p>
        </w:tc>
        <w:tc>
          <w:tcPr>
            <w:tcW w:w="2380" w:type="dxa"/>
            <w:tcBorders>
              <w:top w:val="single" w:sz="8" w:space="0" w:color="auto"/>
              <w:left w:val="nil"/>
              <w:bottom w:val="single" w:sz="4" w:space="0" w:color="auto"/>
              <w:right w:val="nil"/>
            </w:tcBorders>
            <w:shd w:val="clear" w:color="auto" w:fill="auto"/>
            <w:vAlign w:val="center"/>
            <w:hideMark/>
          </w:tcPr>
          <w:p w14:paraId="426CC51F"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zadłużenia aktywów (%)                          </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D30E2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59%</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78D2CA7A"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920" w:type="dxa"/>
            <w:tcBorders>
              <w:top w:val="single" w:sz="8" w:space="0" w:color="auto"/>
              <w:left w:val="nil"/>
              <w:bottom w:val="single" w:sz="4" w:space="0" w:color="auto"/>
              <w:right w:val="single" w:sz="4" w:space="0" w:color="auto"/>
            </w:tcBorders>
            <w:shd w:val="clear" w:color="auto" w:fill="auto"/>
            <w:vAlign w:val="center"/>
            <w:hideMark/>
          </w:tcPr>
          <w:p w14:paraId="49AEA221"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58%</w:t>
            </w:r>
          </w:p>
        </w:tc>
        <w:tc>
          <w:tcPr>
            <w:tcW w:w="920" w:type="dxa"/>
            <w:tcBorders>
              <w:top w:val="single" w:sz="8" w:space="0" w:color="auto"/>
              <w:left w:val="nil"/>
              <w:bottom w:val="single" w:sz="4" w:space="0" w:color="auto"/>
              <w:right w:val="nil"/>
            </w:tcBorders>
            <w:shd w:val="clear" w:color="000000" w:fill="FFFFFF"/>
            <w:vAlign w:val="center"/>
            <w:hideMark/>
          </w:tcPr>
          <w:p w14:paraId="4B8EB6E9"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0BEA3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51%</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0D24936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r>
      <w:tr w:rsidR="008A53CD" w:rsidRPr="008A53CD" w14:paraId="35377AF4" w14:textId="77777777" w:rsidTr="008A53CD">
        <w:trPr>
          <w:trHeight w:val="660"/>
        </w:trPr>
        <w:tc>
          <w:tcPr>
            <w:tcW w:w="1680" w:type="dxa"/>
            <w:vMerge/>
            <w:tcBorders>
              <w:top w:val="single" w:sz="8" w:space="0" w:color="auto"/>
              <w:left w:val="single" w:sz="8" w:space="0" w:color="auto"/>
              <w:bottom w:val="single" w:sz="8" w:space="0" w:color="000000"/>
              <w:right w:val="single" w:sz="8" w:space="0" w:color="auto"/>
            </w:tcBorders>
            <w:vAlign w:val="center"/>
            <w:hideMark/>
          </w:tcPr>
          <w:p w14:paraId="2041CCE9"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p>
        </w:tc>
        <w:tc>
          <w:tcPr>
            <w:tcW w:w="2380" w:type="dxa"/>
            <w:tcBorders>
              <w:top w:val="nil"/>
              <w:left w:val="nil"/>
              <w:bottom w:val="single" w:sz="4" w:space="0" w:color="auto"/>
              <w:right w:val="nil"/>
            </w:tcBorders>
            <w:shd w:val="clear" w:color="auto" w:fill="auto"/>
            <w:vAlign w:val="center"/>
            <w:hideMark/>
          </w:tcPr>
          <w:p w14:paraId="175EC0F1"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wypłacalności</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291C9D2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-1,99</w:t>
            </w:r>
          </w:p>
        </w:tc>
        <w:tc>
          <w:tcPr>
            <w:tcW w:w="920" w:type="dxa"/>
            <w:tcBorders>
              <w:top w:val="nil"/>
              <w:left w:val="nil"/>
              <w:bottom w:val="single" w:sz="4" w:space="0" w:color="auto"/>
              <w:right w:val="single" w:sz="8" w:space="0" w:color="auto"/>
            </w:tcBorders>
            <w:shd w:val="clear" w:color="000000" w:fill="FFFFFF"/>
            <w:vAlign w:val="center"/>
            <w:hideMark/>
          </w:tcPr>
          <w:p w14:paraId="49C6364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nil"/>
              <w:bottom w:val="single" w:sz="4" w:space="0" w:color="auto"/>
              <w:right w:val="single" w:sz="4" w:space="0" w:color="auto"/>
            </w:tcBorders>
            <w:shd w:val="clear" w:color="auto" w:fill="auto"/>
            <w:vAlign w:val="center"/>
            <w:hideMark/>
          </w:tcPr>
          <w:p w14:paraId="541C98A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-1,77</w:t>
            </w:r>
          </w:p>
        </w:tc>
        <w:tc>
          <w:tcPr>
            <w:tcW w:w="920" w:type="dxa"/>
            <w:tcBorders>
              <w:top w:val="nil"/>
              <w:left w:val="nil"/>
              <w:bottom w:val="single" w:sz="4" w:space="0" w:color="auto"/>
              <w:right w:val="nil"/>
            </w:tcBorders>
            <w:shd w:val="clear" w:color="000000" w:fill="FFFFFF"/>
            <w:vAlign w:val="center"/>
            <w:hideMark/>
          </w:tcPr>
          <w:p w14:paraId="68194995"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2D28D031"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-1,66</w:t>
            </w:r>
          </w:p>
        </w:tc>
        <w:tc>
          <w:tcPr>
            <w:tcW w:w="920" w:type="dxa"/>
            <w:tcBorders>
              <w:top w:val="nil"/>
              <w:left w:val="nil"/>
              <w:bottom w:val="single" w:sz="4" w:space="0" w:color="auto"/>
              <w:right w:val="single" w:sz="8" w:space="0" w:color="auto"/>
            </w:tcBorders>
            <w:shd w:val="clear" w:color="000000" w:fill="FFFFFF"/>
            <w:vAlign w:val="center"/>
            <w:hideMark/>
          </w:tcPr>
          <w:p w14:paraId="11C7B355"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r>
      <w:tr w:rsidR="008A53CD" w:rsidRPr="008A53CD" w14:paraId="4AFC0327" w14:textId="77777777" w:rsidTr="008A53CD">
        <w:trPr>
          <w:trHeight w:val="540"/>
        </w:trPr>
        <w:tc>
          <w:tcPr>
            <w:tcW w:w="4060" w:type="dxa"/>
            <w:gridSpan w:val="2"/>
            <w:tcBorders>
              <w:top w:val="single" w:sz="8" w:space="0" w:color="auto"/>
              <w:left w:val="nil"/>
              <w:bottom w:val="nil"/>
              <w:right w:val="nil"/>
            </w:tcBorders>
            <w:shd w:val="clear" w:color="000000" w:fill="FFFFFF"/>
            <w:noWrap/>
            <w:vAlign w:val="center"/>
            <w:hideMark/>
          </w:tcPr>
          <w:p w14:paraId="2C74A986"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12984D14"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77D1B21B"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8</w:t>
            </w:r>
          </w:p>
        </w:tc>
        <w:tc>
          <w:tcPr>
            <w:tcW w:w="920" w:type="dxa"/>
            <w:tcBorders>
              <w:top w:val="single" w:sz="8" w:space="0" w:color="auto"/>
              <w:left w:val="nil"/>
              <w:bottom w:val="single" w:sz="8" w:space="0" w:color="auto"/>
              <w:right w:val="nil"/>
            </w:tcBorders>
            <w:shd w:val="clear" w:color="000000" w:fill="969696"/>
            <w:vAlign w:val="center"/>
            <w:hideMark/>
          </w:tcPr>
          <w:p w14:paraId="42AABEB4"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nil"/>
            </w:tcBorders>
            <w:shd w:val="clear" w:color="000000" w:fill="969696"/>
            <w:vAlign w:val="center"/>
            <w:hideMark/>
          </w:tcPr>
          <w:p w14:paraId="2B62D3D6"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8</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0965876C"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1708E313"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8</w:t>
            </w:r>
          </w:p>
        </w:tc>
      </w:tr>
      <w:tr w:rsidR="008A53CD" w:rsidRPr="008A53CD" w14:paraId="25120165" w14:textId="77777777" w:rsidTr="008A53CD">
        <w:trPr>
          <w:trHeight w:val="120"/>
        </w:trPr>
        <w:tc>
          <w:tcPr>
            <w:tcW w:w="1680" w:type="dxa"/>
            <w:tcBorders>
              <w:top w:val="nil"/>
              <w:left w:val="nil"/>
              <w:bottom w:val="nil"/>
              <w:right w:val="nil"/>
            </w:tcBorders>
            <w:shd w:val="clear" w:color="auto" w:fill="auto"/>
            <w:noWrap/>
            <w:vAlign w:val="bottom"/>
            <w:hideMark/>
          </w:tcPr>
          <w:p w14:paraId="4111D24C"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2380" w:type="dxa"/>
            <w:tcBorders>
              <w:top w:val="nil"/>
              <w:left w:val="nil"/>
              <w:bottom w:val="nil"/>
              <w:right w:val="nil"/>
            </w:tcBorders>
            <w:shd w:val="clear" w:color="auto" w:fill="auto"/>
            <w:noWrap/>
            <w:vAlign w:val="bottom"/>
            <w:hideMark/>
          </w:tcPr>
          <w:p w14:paraId="63BD935C"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7ACB23E2"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center"/>
            <w:hideMark/>
          </w:tcPr>
          <w:p w14:paraId="5E2C91C8"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bottom"/>
            <w:hideMark/>
          </w:tcPr>
          <w:p w14:paraId="6EE18915" w14:textId="77777777" w:rsidR="008A53CD" w:rsidRPr="008A53CD" w:rsidRDefault="008A53CD" w:rsidP="008A53CD">
            <w:pPr>
              <w:suppressAutoHyphens w:val="0"/>
              <w:spacing w:line="240" w:lineRule="auto"/>
              <w:jc w:val="center"/>
              <w:rPr>
                <w:color w:val="auto"/>
                <w:sz w:val="20"/>
                <w:szCs w:val="20"/>
                <w:lang w:eastAsia="pl-PL"/>
              </w:rPr>
            </w:pPr>
          </w:p>
        </w:tc>
        <w:tc>
          <w:tcPr>
            <w:tcW w:w="920" w:type="dxa"/>
            <w:tcBorders>
              <w:top w:val="nil"/>
              <w:left w:val="nil"/>
              <w:bottom w:val="nil"/>
              <w:right w:val="nil"/>
            </w:tcBorders>
            <w:shd w:val="clear" w:color="auto" w:fill="auto"/>
            <w:noWrap/>
            <w:vAlign w:val="bottom"/>
            <w:hideMark/>
          </w:tcPr>
          <w:p w14:paraId="5D54EC41"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bottom"/>
            <w:hideMark/>
          </w:tcPr>
          <w:p w14:paraId="1DF85CBF" w14:textId="77777777" w:rsidR="008A53CD" w:rsidRPr="008A53CD" w:rsidRDefault="008A53CD" w:rsidP="008A53CD">
            <w:pPr>
              <w:suppressAutoHyphens w:val="0"/>
              <w:spacing w:line="240" w:lineRule="auto"/>
              <w:rPr>
                <w:color w:val="auto"/>
                <w:sz w:val="20"/>
                <w:szCs w:val="20"/>
                <w:lang w:eastAsia="pl-PL"/>
              </w:rPr>
            </w:pPr>
          </w:p>
        </w:tc>
        <w:tc>
          <w:tcPr>
            <w:tcW w:w="920" w:type="dxa"/>
            <w:tcBorders>
              <w:top w:val="nil"/>
              <w:left w:val="nil"/>
              <w:bottom w:val="nil"/>
              <w:right w:val="nil"/>
            </w:tcBorders>
            <w:shd w:val="clear" w:color="auto" w:fill="auto"/>
            <w:noWrap/>
            <w:vAlign w:val="bottom"/>
            <w:hideMark/>
          </w:tcPr>
          <w:p w14:paraId="5C0ACAC6"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1AA79464" w14:textId="77777777" w:rsidTr="008A53CD">
        <w:trPr>
          <w:trHeight w:val="420"/>
        </w:trPr>
        <w:tc>
          <w:tcPr>
            <w:tcW w:w="4060" w:type="dxa"/>
            <w:gridSpan w:val="2"/>
            <w:tcBorders>
              <w:top w:val="single" w:sz="8" w:space="0" w:color="auto"/>
              <w:left w:val="single" w:sz="8" w:space="0" w:color="auto"/>
              <w:bottom w:val="single" w:sz="8" w:space="0" w:color="auto"/>
              <w:right w:val="single" w:sz="8" w:space="0" w:color="000000"/>
            </w:tcBorders>
            <w:shd w:val="clear" w:color="000000" w:fill="99CC00"/>
            <w:noWrap/>
            <w:vAlign w:val="center"/>
            <w:hideMark/>
          </w:tcPr>
          <w:p w14:paraId="3ECC5602"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Łączna wartość punktów</w:t>
            </w:r>
          </w:p>
        </w:tc>
        <w:tc>
          <w:tcPr>
            <w:tcW w:w="1840" w:type="dxa"/>
            <w:gridSpan w:val="2"/>
            <w:tcBorders>
              <w:top w:val="single" w:sz="8" w:space="0" w:color="auto"/>
              <w:left w:val="nil"/>
              <w:bottom w:val="single" w:sz="8" w:space="0" w:color="auto"/>
              <w:right w:val="single" w:sz="8" w:space="0" w:color="000000"/>
            </w:tcBorders>
            <w:shd w:val="clear" w:color="000000" w:fill="99CC00"/>
            <w:vAlign w:val="center"/>
            <w:hideMark/>
          </w:tcPr>
          <w:p w14:paraId="400C6E28" w14:textId="406A3B76"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25</w:t>
            </w:r>
          </w:p>
        </w:tc>
        <w:tc>
          <w:tcPr>
            <w:tcW w:w="1840" w:type="dxa"/>
            <w:gridSpan w:val="2"/>
            <w:tcBorders>
              <w:top w:val="single" w:sz="8" w:space="0" w:color="auto"/>
              <w:left w:val="nil"/>
              <w:bottom w:val="single" w:sz="8" w:space="0" w:color="auto"/>
              <w:right w:val="single" w:sz="8" w:space="0" w:color="000000"/>
            </w:tcBorders>
            <w:shd w:val="clear" w:color="000000" w:fill="99CC00"/>
            <w:vAlign w:val="center"/>
            <w:hideMark/>
          </w:tcPr>
          <w:p w14:paraId="37EACFCB" w14:textId="2E27B43F"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25</w:t>
            </w:r>
          </w:p>
        </w:tc>
        <w:tc>
          <w:tcPr>
            <w:tcW w:w="1840" w:type="dxa"/>
            <w:gridSpan w:val="2"/>
            <w:tcBorders>
              <w:top w:val="single" w:sz="8" w:space="0" w:color="auto"/>
              <w:left w:val="nil"/>
              <w:bottom w:val="single" w:sz="8" w:space="0" w:color="auto"/>
              <w:right w:val="single" w:sz="8" w:space="0" w:color="000000"/>
            </w:tcBorders>
            <w:shd w:val="clear" w:color="000000" w:fill="99CC00"/>
            <w:vAlign w:val="center"/>
            <w:hideMark/>
          </w:tcPr>
          <w:p w14:paraId="463281BA" w14:textId="5971901C" w:rsidR="008A53CD" w:rsidRPr="008A53CD" w:rsidRDefault="00A22799"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32</w:t>
            </w:r>
          </w:p>
        </w:tc>
      </w:tr>
    </w:tbl>
    <w:p w14:paraId="46E1480F" w14:textId="77777777" w:rsidR="00DD2510" w:rsidRDefault="00DD2510" w:rsidP="005D00D7">
      <w:pPr>
        <w:pStyle w:val="Nagwek2"/>
        <w:framePr w:wrap="auto"/>
        <w:numPr>
          <w:ilvl w:val="0"/>
          <w:numId w:val="0"/>
        </w:numPr>
      </w:pPr>
    </w:p>
    <w:p w14:paraId="4B9638BF" w14:textId="77777777" w:rsidR="00DD2510" w:rsidRPr="002E0119" w:rsidRDefault="00DD2510" w:rsidP="002E0119"/>
    <w:p w14:paraId="5D0BD44C" w14:textId="77777777" w:rsidR="00DD2510" w:rsidRDefault="00DD2510" w:rsidP="00156F00">
      <w:pPr>
        <w:pStyle w:val="Nagwek2"/>
        <w:framePr w:wrap="auto"/>
      </w:pPr>
      <w:bookmarkStart w:id="24" w:name="_Toc132708838"/>
      <w:r>
        <w:t>Podsumowanie prognozy</w:t>
      </w:r>
      <w:bookmarkEnd w:id="24"/>
      <w:r>
        <w:t xml:space="preserve"> </w:t>
      </w:r>
    </w:p>
    <w:p w14:paraId="29DC4A71" w14:textId="77777777" w:rsidR="00DD2510" w:rsidRPr="007C0821" w:rsidRDefault="00DD2510" w:rsidP="00903819">
      <w:pPr>
        <w:spacing w:line="360" w:lineRule="atLeast"/>
        <w:ind w:firstLine="709"/>
        <w:jc w:val="both"/>
      </w:pPr>
      <w:r w:rsidRPr="007C0821">
        <w:t>Podstawową działalnością samodzielnego zakładu opieki zdrowotnej jest działalność lecznicza polegająca na udzielaniu świadczeń zdrowotnych finansowanych ze środków  publicznych. Samodzielny publiczny zakład opieki zdrowotnej nie jest jednostką nastawioną na osiągnięcie zysku.  Celem  naszego  Szpitala  jest  udzielanie  świadczeń  zdrowotnych służących zachowaniu, ratowaniu, przywracaniu lub poprawie zdrowia oraz inne działania medyczne wynikające  z  procesu  leczenia  oraz  promocja  zdrowia.</w:t>
      </w:r>
    </w:p>
    <w:p w14:paraId="03209AEF" w14:textId="77777777" w:rsidR="00DD2510" w:rsidRPr="007C0821" w:rsidRDefault="00DD2510" w:rsidP="00903819">
      <w:pPr>
        <w:spacing w:line="360" w:lineRule="atLeast"/>
        <w:ind w:firstLine="709"/>
        <w:jc w:val="both"/>
      </w:pPr>
      <w:r w:rsidRPr="007C0821">
        <w:t>Zasadniczym celem działania podmiotów leczniczych realizujących usługi w całości finansowane lub dofinansowane ze środków NFZ, jest zaspokajanie w sposób ciągły i trwały potrzeb obywateli w zakresie ochrony zdrowia, w ramach gwarantowanych przez państwo świadczeń zdrowotnych. SP ZOZ udziela świadczeń zdrowotnych finansowanych ze środków publicznych ubezpieczonym oraz innym osobom uprawnionym do tych świadczeń na podstawie odrębnych przepisów nieodpłatnie, za częściową lub całkowitą odpłatnością. Opłaty za świadczenia zdrowotne udzielone odpłatnie, w sytuacjach, w których ustawa oraz przepisy odrębne dopuszczają taką odpłatność, ustalane są w oparciu o rzeczywiste koszty</w:t>
      </w:r>
      <w:r>
        <w:t xml:space="preserve"> związane </w:t>
      </w:r>
      <w:r w:rsidRPr="007C0821">
        <w:t xml:space="preserve">z  realizacją  procedur  medycznych. </w:t>
      </w:r>
    </w:p>
    <w:p w14:paraId="14E47A0D" w14:textId="77777777" w:rsidR="00DD2510" w:rsidRPr="007C0821" w:rsidRDefault="00DD2510" w:rsidP="00760DBB">
      <w:pPr>
        <w:spacing w:line="360" w:lineRule="atLeast"/>
        <w:jc w:val="both"/>
        <w:rPr>
          <w:b/>
          <w:bCs/>
        </w:rPr>
      </w:pPr>
      <w:r w:rsidRPr="007C0821">
        <w:t>Celem  SP ZOZ  jest  równoważenie  kosztów</w:t>
      </w:r>
      <w:r>
        <w:t xml:space="preserve"> z </w:t>
      </w:r>
      <w:r w:rsidRPr="007C0821">
        <w:t xml:space="preserve">przychodami. </w:t>
      </w:r>
    </w:p>
    <w:p w14:paraId="1C2AF32F" w14:textId="677F7AF7" w:rsidR="00DD2510" w:rsidRDefault="00DD2510" w:rsidP="00760DBB">
      <w:pPr>
        <w:spacing w:line="360" w:lineRule="atLeast"/>
        <w:ind w:firstLine="708"/>
        <w:jc w:val="both"/>
      </w:pPr>
      <w:r w:rsidRPr="007C0821">
        <w:t>W związku z powyższym uzyskanie w 202</w:t>
      </w:r>
      <w:r w:rsidR="0004356B">
        <w:t>2</w:t>
      </w:r>
      <w:r w:rsidRPr="007C0821">
        <w:t xml:space="preserve"> r. i w prognozach na lata 202</w:t>
      </w:r>
      <w:r w:rsidR="0004356B">
        <w:t>3</w:t>
      </w:r>
      <w:r w:rsidRPr="007C0821">
        <w:t>-202</w:t>
      </w:r>
      <w:r w:rsidR="0004356B">
        <w:t>5</w:t>
      </w:r>
      <w:r w:rsidRPr="007C0821">
        <w:t xml:space="preserve">, kolejno </w:t>
      </w:r>
      <w:r w:rsidR="0004356B">
        <w:t>1</w:t>
      </w:r>
      <w:r w:rsidR="003865EC">
        <w:t>3</w:t>
      </w:r>
      <w:r w:rsidRPr="007C0821">
        <w:t xml:space="preserve">, </w:t>
      </w:r>
      <w:r w:rsidR="00B42783">
        <w:t>25</w:t>
      </w:r>
      <w:r w:rsidRPr="007C0821">
        <w:t xml:space="preserve">, </w:t>
      </w:r>
      <w:r w:rsidR="0004356B">
        <w:t>2</w:t>
      </w:r>
      <w:r w:rsidR="00B42783">
        <w:t>5</w:t>
      </w:r>
      <w:r w:rsidRPr="007C0821">
        <w:t xml:space="preserve"> i</w:t>
      </w:r>
      <w:r w:rsidR="00B42783">
        <w:t xml:space="preserve"> 32</w:t>
      </w:r>
      <w:r w:rsidRPr="007C0821">
        <w:t xml:space="preserve">  możliwych punktów w ka</w:t>
      </w:r>
      <w:r>
        <w:t xml:space="preserve">tegorii wskaźników (ogółem) </w:t>
      </w:r>
      <w:r w:rsidRPr="007C0821">
        <w:t xml:space="preserve">przy maksymalnej punktacji wskaźników efektywności i </w:t>
      </w:r>
      <w:r>
        <w:t xml:space="preserve">zadłużenia, oraz wysokiej ocenie </w:t>
      </w:r>
      <w:r w:rsidRPr="007C0821">
        <w:t xml:space="preserve">wskaźników płynności  świadczy o </w:t>
      </w:r>
      <w:r>
        <w:t>polepszeniu</w:t>
      </w:r>
      <w:r w:rsidRPr="007C0821">
        <w:t xml:space="preserve"> się stabilności  ekonomiczno-finansowej  naszego  Szpitala i sprawności  bieżącego  zarządzania  Jednostką</w:t>
      </w:r>
      <w:r>
        <w:t xml:space="preserve"> w stosunku do roku 202</w:t>
      </w:r>
      <w:r w:rsidR="00B42783">
        <w:t>2</w:t>
      </w:r>
      <w:r w:rsidRPr="007C0821">
        <w:t>, co przedstawia poniższa tabela i wykresy.</w:t>
      </w:r>
    </w:p>
    <w:p w14:paraId="36C00DDE" w14:textId="77777777" w:rsidR="00DD2510" w:rsidRDefault="00DD2510" w:rsidP="00323F30">
      <w:pPr>
        <w:rPr>
          <w:b/>
          <w:bCs/>
        </w:rPr>
      </w:pPr>
    </w:p>
    <w:p w14:paraId="00E0D58B" w14:textId="02F839AF" w:rsidR="00DD2510" w:rsidRPr="00402325" w:rsidRDefault="00DD2510" w:rsidP="00323F30">
      <w:r w:rsidRPr="00402325">
        <w:t>Tab. 9 Tabela punktów ogółem za lata 202</w:t>
      </w:r>
      <w:r w:rsidR="00B60AE6">
        <w:t>3</w:t>
      </w:r>
      <w:r w:rsidRPr="00402325">
        <w:t xml:space="preserve"> – 202</w:t>
      </w:r>
      <w:r w:rsidR="00B60AE6">
        <w:t>5</w:t>
      </w:r>
      <w:r w:rsidRPr="00402325">
        <w:t>.</w:t>
      </w:r>
    </w:p>
    <w:tbl>
      <w:tblPr>
        <w:tblW w:w="8620" w:type="dxa"/>
        <w:tblInd w:w="70" w:type="dxa"/>
        <w:tblCellMar>
          <w:left w:w="70" w:type="dxa"/>
          <w:right w:w="70" w:type="dxa"/>
        </w:tblCellMar>
        <w:tblLook w:val="04A0" w:firstRow="1" w:lastRow="0" w:firstColumn="1" w:lastColumn="0" w:noHBand="0" w:noVBand="1"/>
      </w:tblPr>
      <w:tblGrid>
        <w:gridCol w:w="3354"/>
        <w:gridCol w:w="1258"/>
        <w:gridCol w:w="1337"/>
        <w:gridCol w:w="1417"/>
        <w:gridCol w:w="1108"/>
        <w:gridCol w:w="146"/>
      </w:tblGrid>
      <w:tr w:rsidR="008A53CD" w:rsidRPr="008A53CD" w14:paraId="17D3B0AF" w14:textId="77777777" w:rsidTr="008A53CD">
        <w:trPr>
          <w:gridAfter w:val="1"/>
          <w:wAfter w:w="16" w:type="dxa"/>
          <w:trHeight w:val="540"/>
        </w:trPr>
        <w:tc>
          <w:tcPr>
            <w:tcW w:w="8604" w:type="dxa"/>
            <w:gridSpan w:val="5"/>
            <w:tcBorders>
              <w:top w:val="nil"/>
              <w:left w:val="nil"/>
              <w:bottom w:val="single" w:sz="8" w:space="0" w:color="auto"/>
              <w:right w:val="nil"/>
            </w:tcBorders>
            <w:shd w:val="clear" w:color="000000" w:fill="FFFFFF"/>
            <w:vAlign w:val="center"/>
            <w:hideMark/>
          </w:tcPr>
          <w:p w14:paraId="795DA018" w14:textId="2B36C44C"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bookmarkStart w:id="25" w:name="RANGE!A2:E14"/>
            <w:bookmarkEnd w:id="25"/>
            <w:r w:rsidRPr="008A53CD">
              <w:rPr>
                <w:rFonts w:ascii="Garamond" w:hAnsi="Garamond" w:cs="Arial"/>
                <w:b/>
                <w:bCs/>
                <w:color w:val="auto"/>
                <w:sz w:val="22"/>
                <w:szCs w:val="22"/>
                <w:lang w:eastAsia="pl-PL"/>
              </w:rPr>
              <w:t>TABELA PUN</w:t>
            </w:r>
            <w:r w:rsidR="00B42783">
              <w:rPr>
                <w:rFonts w:ascii="Garamond" w:hAnsi="Garamond" w:cs="Arial"/>
                <w:b/>
                <w:bCs/>
                <w:color w:val="auto"/>
                <w:sz w:val="22"/>
                <w:szCs w:val="22"/>
                <w:lang w:eastAsia="pl-PL"/>
              </w:rPr>
              <w:t>K</w:t>
            </w:r>
            <w:r w:rsidRPr="008A53CD">
              <w:rPr>
                <w:rFonts w:ascii="Garamond" w:hAnsi="Garamond" w:cs="Arial"/>
                <w:b/>
                <w:bCs/>
                <w:color w:val="auto"/>
                <w:sz w:val="22"/>
                <w:szCs w:val="22"/>
                <w:lang w:eastAsia="pl-PL"/>
              </w:rPr>
              <w:t>TÓW OGÓŁEM ZA LATA 2022, 2023, 2024, 2025</w:t>
            </w:r>
          </w:p>
        </w:tc>
      </w:tr>
      <w:tr w:rsidR="008A53CD" w:rsidRPr="008A53CD" w14:paraId="1B5BC8CE" w14:textId="77777777" w:rsidTr="008A53CD">
        <w:trPr>
          <w:gridAfter w:val="1"/>
          <w:wAfter w:w="16" w:type="dxa"/>
          <w:trHeight w:val="276"/>
        </w:trPr>
        <w:tc>
          <w:tcPr>
            <w:tcW w:w="3354" w:type="dxa"/>
            <w:vMerge w:val="restart"/>
            <w:tcBorders>
              <w:top w:val="nil"/>
              <w:left w:val="single" w:sz="8" w:space="0" w:color="auto"/>
              <w:bottom w:val="single" w:sz="4" w:space="0" w:color="auto"/>
              <w:right w:val="single" w:sz="4" w:space="0" w:color="auto"/>
            </w:tcBorders>
            <w:shd w:val="clear" w:color="000000" w:fill="99CC00"/>
            <w:vAlign w:val="center"/>
            <w:hideMark/>
          </w:tcPr>
          <w:p w14:paraId="2F2DE13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Wskaźniki</w:t>
            </w:r>
          </w:p>
        </w:tc>
        <w:tc>
          <w:tcPr>
            <w:tcW w:w="1258" w:type="dxa"/>
            <w:vMerge w:val="restart"/>
            <w:tcBorders>
              <w:top w:val="nil"/>
              <w:left w:val="single" w:sz="4" w:space="0" w:color="auto"/>
              <w:bottom w:val="single" w:sz="4" w:space="0" w:color="auto"/>
              <w:right w:val="single" w:sz="4" w:space="0" w:color="auto"/>
            </w:tcBorders>
            <w:shd w:val="clear" w:color="000000" w:fill="99CC00"/>
            <w:vAlign w:val="center"/>
            <w:hideMark/>
          </w:tcPr>
          <w:p w14:paraId="0E270628"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2022</w:t>
            </w:r>
          </w:p>
        </w:tc>
        <w:tc>
          <w:tcPr>
            <w:tcW w:w="1337" w:type="dxa"/>
            <w:vMerge w:val="restart"/>
            <w:tcBorders>
              <w:top w:val="nil"/>
              <w:left w:val="single" w:sz="4" w:space="0" w:color="auto"/>
              <w:bottom w:val="single" w:sz="4" w:space="0" w:color="auto"/>
              <w:right w:val="single" w:sz="4" w:space="0" w:color="auto"/>
            </w:tcBorders>
            <w:shd w:val="clear" w:color="000000" w:fill="99CC00"/>
            <w:vAlign w:val="center"/>
            <w:hideMark/>
          </w:tcPr>
          <w:p w14:paraId="0A23DEF6"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2023</w:t>
            </w:r>
          </w:p>
        </w:tc>
        <w:tc>
          <w:tcPr>
            <w:tcW w:w="1417" w:type="dxa"/>
            <w:vMerge w:val="restart"/>
            <w:tcBorders>
              <w:top w:val="nil"/>
              <w:left w:val="single" w:sz="4" w:space="0" w:color="auto"/>
              <w:bottom w:val="single" w:sz="4" w:space="0" w:color="auto"/>
              <w:right w:val="single" w:sz="4" w:space="0" w:color="auto"/>
            </w:tcBorders>
            <w:shd w:val="clear" w:color="000000" w:fill="99CC00"/>
            <w:vAlign w:val="center"/>
            <w:hideMark/>
          </w:tcPr>
          <w:p w14:paraId="1D2D4036"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2024</w:t>
            </w:r>
          </w:p>
        </w:tc>
        <w:tc>
          <w:tcPr>
            <w:tcW w:w="1238" w:type="dxa"/>
            <w:vMerge w:val="restart"/>
            <w:tcBorders>
              <w:top w:val="nil"/>
              <w:left w:val="single" w:sz="4" w:space="0" w:color="auto"/>
              <w:bottom w:val="single" w:sz="4" w:space="0" w:color="auto"/>
              <w:right w:val="single" w:sz="4" w:space="0" w:color="auto"/>
            </w:tcBorders>
            <w:shd w:val="clear" w:color="000000" w:fill="99CC00"/>
            <w:vAlign w:val="center"/>
            <w:hideMark/>
          </w:tcPr>
          <w:p w14:paraId="6C051DF9"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2025</w:t>
            </w:r>
          </w:p>
        </w:tc>
      </w:tr>
      <w:tr w:rsidR="008A53CD" w:rsidRPr="008A53CD" w14:paraId="538993C0" w14:textId="77777777" w:rsidTr="008A53CD">
        <w:trPr>
          <w:trHeight w:val="210"/>
        </w:trPr>
        <w:tc>
          <w:tcPr>
            <w:tcW w:w="3354" w:type="dxa"/>
            <w:vMerge/>
            <w:tcBorders>
              <w:top w:val="nil"/>
              <w:left w:val="single" w:sz="8" w:space="0" w:color="auto"/>
              <w:bottom w:val="single" w:sz="4" w:space="0" w:color="auto"/>
              <w:right w:val="single" w:sz="4" w:space="0" w:color="auto"/>
            </w:tcBorders>
            <w:vAlign w:val="center"/>
            <w:hideMark/>
          </w:tcPr>
          <w:p w14:paraId="2B333751" w14:textId="77777777" w:rsidR="008A53CD" w:rsidRPr="008A53CD" w:rsidRDefault="008A53CD" w:rsidP="008A53CD">
            <w:pPr>
              <w:suppressAutoHyphens w:val="0"/>
              <w:spacing w:line="240" w:lineRule="auto"/>
              <w:rPr>
                <w:rFonts w:ascii="Garamond" w:hAnsi="Garamond" w:cs="Arial"/>
                <w:color w:val="auto"/>
                <w:sz w:val="22"/>
                <w:szCs w:val="22"/>
                <w:lang w:eastAsia="pl-PL"/>
              </w:rPr>
            </w:pPr>
          </w:p>
        </w:tc>
        <w:tc>
          <w:tcPr>
            <w:tcW w:w="1258" w:type="dxa"/>
            <w:vMerge/>
            <w:tcBorders>
              <w:top w:val="nil"/>
              <w:left w:val="single" w:sz="4" w:space="0" w:color="auto"/>
              <w:bottom w:val="single" w:sz="4" w:space="0" w:color="auto"/>
              <w:right w:val="single" w:sz="4" w:space="0" w:color="auto"/>
            </w:tcBorders>
            <w:vAlign w:val="center"/>
            <w:hideMark/>
          </w:tcPr>
          <w:p w14:paraId="66DDE5E8"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337" w:type="dxa"/>
            <w:vMerge/>
            <w:tcBorders>
              <w:top w:val="nil"/>
              <w:left w:val="single" w:sz="4" w:space="0" w:color="auto"/>
              <w:bottom w:val="single" w:sz="4" w:space="0" w:color="auto"/>
              <w:right w:val="single" w:sz="4" w:space="0" w:color="auto"/>
            </w:tcBorders>
            <w:vAlign w:val="center"/>
            <w:hideMark/>
          </w:tcPr>
          <w:p w14:paraId="69C9DA0F"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417" w:type="dxa"/>
            <w:vMerge/>
            <w:tcBorders>
              <w:top w:val="nil"/>
              <w:left w:val="single" w:sz="4" w:space="0" w:color="auto"/>
              <w:bottom w:val="single" w:sz="4" w:space="0" w:color="auto"/>
              <w:right w:val="single" w:sz="4" w:space="0" w:color="auto"/>
            </w:tcBorders>
            <w:vAlign w:val="center"/>
            <w:hideMark/>
          </w:tcPr>
          <w:p w14:paraId="7FBF570C"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238" w:type="dxa"/>
            <w:vMerge/>
            <w:tcBorders>
              <w:top w:val="nil"/>
              <w:left w:val="single" w:sz="4" w:space="0" w:color="auto"/>
              <w:bottom w:val="single" w:sz="4" w:space="0" w:color="auto"/>
              <w:right w:val="single" w:sz="4" w:space="0" w:color="auto"/>
            </w:tcBorders>
            <w:vAlign w:val="center"/>
            <w:hideMark/>
          </w:tcPr>
          <w:p w14:paraId="6A7B7340"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6" w:type="dxa"/>
            <w:tcBorders>
              <w:top w:val="nil"/>
              <w:left w:val="nil"/>
              <w:bottom w:val="nil"/>
              <w:right w:val="nil"/>
            </w:tcBorders>
            <w:shd w:val="clear" w:color="auto" w:fill="auto"/>
            <w:noWrap/>
            <w:vAlign w:val="bottom"/>
            <w:hideMark/>
          </w:tcPr>
          <w:p w14:paraId="1D013CE3"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p>
        </w:tc>
      </w:tr>
      <w:tr w:rsidR="008A53CD" w:rsidRPr="008A53CD" w14:paraId="16A73628" w14:textId="77777777" w:rsidTr="008A53CD">
        <w:trPr>
          <w:trHeight w:val="720"/>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5FF60AEF"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netto  (%)                                                           </w:t>
            </w:r>
          </w:p>
        </w:tc>
        <w:tc>
          <w:tcPr>
            <w:tcW w:w="1258" w:type="dxa"/>
            <w:tcBorders>
              <w:top w:val="nil"/>
              <w:left w:val="nil"/>
              <w:bottom w:val="single" w:sz="4" w:space="0" w:color="auto"/>
              <w:right w:val="single" w:sz="4" w:space="0" w:color="auto"/>
            </w:tcBorders>
            <w:shd w:val="clear" w:color="auto" w:fill="auto"/>
            <w:noWrap/>
            <w:vAlign w:val="center"/>
            <w:hideMark/>
          </w:tcPr>
          <w:p w14:paraId="7D0E5906"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337" w:type="dxa"/>
            <w:tcBorders>
              <w:top w:val="nil"/>
              <w:left w:val="nil"/>
              <w:bottom w:val="single" w:sz="4" w:space="0" w:color="auto"/>
              <w:right w:val="single" w:sz="4" w:space="0" w:color="auto"/>
            </w:tcBorders>
            <w:shd w:val="clear" w:color="auto" w:fill="auto"/>
            <w:noWrap/>
            <w:vAlign w:val="center"/>
            <w:hideMark/>
          </w:tcPr>
          <w:p w14:paraId="2A7A321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E08063"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238" w:type="dxa"/>
            <w:tcBorders>
              <w:top w:val="nil"/>
              <w:left w:val="nil"/>
              <w:bottom w:val="single" w:sz="4" w:space="0" w:color="auto"/>
              <w:right w:val="single" w:sz="8" w:space="0" w:color="auto"/>
            </w:tcBorders>
            <w:shd w:val="clear" w:color="000000" w:fill="FFFFFF"/>
            <w:vAlign w:val="center"/>
            <w:hideMark/>
          </w:tcPr>
          <w:p w14:paraId="3BAA1C40" w14:textId="77777777" w:rsidR="008A53CD" w:rsidRPr="008A53CD" w:rsidRDefault="008A53CD" w:rsidP="008A53CD">
            <w:pPr>
              <w:suppressAutoHyphens w:val="0"/>
              <w:spacing w:line="240" w:lineRule="auto"/>
              <w:jc w:val="center"/>
              <w:rPr>
                <w:rFonts w:ascii="Comic Sans MS" w:hAnsi="Comic Sans MS" w:cs="Arial"/>
                <w:color w:val="auto"/>
                <w:sz w:val="20"/>
                <w:szCs w:val="20"/>
                <w:lang w:eastAsia="pl-PL"/>
              </w:rPr>
            </w:pPr>
            <w:r w:rsidRPr="008A53CD">
              <w:rPr>
                <w:rFonts w:ascii="Comic Sans MS" w:hAnsi="Comic Sans MS" w:cs="Arial"/>
                <w:color w:val="auto"/>
                <w:sz w:val="20"/>
                <w:szCs w:val="20"/>
                <w:lang w:eastAsia="pl-PL"/>
              </w:rPr>
              <w:t>0</w:t>
            </w:r>
          </w:p>
        </w:tc>
        <w:tc>
          <w:tcPr>
            <w:tcW w:w="16" w:type="dxa"/>
            <w:vAlign w:val="center"/>
            <w:hideMark/>
          </w:tcPr>
          <w:p w14:paraId="080A8544"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13DC842F" w14:textId="77777777" w:rsidTr="008A53CD">
        <w:trPr>
          <w:trHeight w:val="945"/>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27D555B4"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działalności operacyjnej (%)            </w:t>
            </w:r>
          </w:p>
        </w:tc>
        <w:tc>
          <w:tcPr>
            <w:tcW w:w="1258" w:type="dxa"/>
            <w:tcBorders>
              <w:top w:val="nil"/>
              <w:left w:val="nil"/>
              <w:bottom w:val="single" w:sz="4" w:space="0" w:color="auto"/>
              <w:right w:val="single" w:sz="4" w:space="0" w:color="auto"/>
            </w:tcBorders>
            <w:shd w:val="clear" w:color="auto" w:fill="auto"/>
            <w:vAlign w:val="center"/>
            <w:hideMark/>
          </w:tcPr>
          <w:p w14:paraId="3E45A492"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337" w:type="dxa"/>
            <w:tcBorders>
              <w:top w:val="nil"/>
              <w:left w:val="nil"/>
              <w:bottom w:val="single" w:sz="4" w:space="0" w:color="auto"/>
              <w:right w:val="single" w:sz="4" w:space="0" w:color="auto"/>
            </w:tcBorders>
            <w:shd w:val="clear" w:color="000000" w:fill="FFFFFF"/>
            <w:vAlign w:val="center"/>
            <w:hideMark/>
          </w:tcPr>
          <w:p w14:paraId="10C74823"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417" w:type="dxa"/>
            <w:tcBorders>
              <w:top w:val="nil"/>
              <w:left w:val="nil"/>
              <w:bottom w:val="single" w:sz="4" w:space="0" w:color="auto"/>
              <w:right w:val="single" w:sz="4" w:space="0" w:color="auto"/>
            </w:tcBorders>
            <w:shd w:val="clear" w:color="auto" w:fill="auto"/>
            <w:vAlign w:val="center"/>
            <w:hideMark/>
          </w:tcPr>
          <w:p w14:paraId="48272B0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238" w:type="dxa"/>
            <w:tcBorders>
              <w:top w:val="nil"/>
              <w:left w:val="nil"/>
              <w:bottom w:val="single" w:sz="4" w:space="0" w:color="auto"/>
              <w:right w:val="single" w:sz="8" w:space="0" w:color="auto"/>
            </w:tcBorders>
            <w:shd w:val="clear" w:color="000000" w:fill="FFFFFF"/>
            <w:vAlign w:val="center"/>
            <w:hideMark/>
          </w:tcPr>
          <w:p w14:paraId="21AB5E60"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3</w:t>
            </w:r>
          </w:p>
        </w:tc>
        <w:tc>
          <w:tcPr>
            <w:tcW w:w="16" w:type="dxa"/>
            <w:vAlign w:val="center"/>
            <w:hideMark/>
          </w:tcPr>
          <w:p w14:paraId="46505BBF"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1AC2C652" w14:textId="77777777" w:rsidTr="008A53CD">
        <w:trPr>
          <w:trHeight w:val="675"/>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0DC7B1BB"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zyskowność aktywów (%)</w:t>
            </w:r>
          </w:p>
        </w:tc>
        <w:tc>
          <w:tcPr>
            <w:tcW w:w="1258" w:type="dxa"/>
            <w:tcBorders>
              <w:top w:val="nil"/>
              <w:left w:val="nil"/>
              <w:bottom w:val="single" w:sz="4" w:space="0" w:color="auto"/>
              <w:right w:val="single" w:sz="4" w:space="0" w:color="auto"/>
            </w:tcBorders>
            <w:shd w:val="clear" w:color="000000" w:fill="FFFFFF"/>
            <w:vAlign w:val="center"/>
            <w:hideMark/>
          </w:tcPr>
          <w:p w14:paraId="40F9FE51" w14:textId="77777777" w:rsidR="008A53CD" w:rsidRPr="008A53CD" w:rsidRDefault="008A53CD" w:rsidP="008A53CD">
            <w:pPr>
              <w:suppressAutoHyphens w:val="0"/>
              <w:spacing w:line="240" w:lineRule="auto"/>
              <w:jc w:val="center"/>
              <w:rPr>
                <w:rFonts w:ascii="Garamond" w:hAnsi="Garamond" w:cs="Arial"/>
                <w:sz w:val="22"/>
                <w:szCs w:val="22"/>
                <w:lang w:eastAsia="pl-PL"/>
              </w:rPr>
            </w:pPr>
            <w:r w:rsidRPr="008A53CD">
              <w:rPr>
                <w:rFonts w:ascii="Garamond" w:hAnsi="Garamond" w:cs="Arial"/>
                <w:sz w:val="22"/>
                <w:szCs w:val="22"/>
                <w:lang w:eastAsia="pl-PL"/>
              </w:rPr>
              <w:t>0</w:t>
            </w:r>
          </w:p>
        </w:tc>
        <w:tc>
          <w:tcPr>
            <w:tcW w:w="1337" w:type="dxa"/>
            <w:tcBorders>
              <w:top w:val="nil"/>
              <w:left w:val="nil"/>
              <w:bottom w:val="single" w:sz="4" w:space="0" w:color="auto"/>
              <w:right w:val="single" w:sz="4" w:space="0" w:color="auto"/>
            </w:tcBorders>
            <w:shd w:val="clear" w:color="000000" w:fill="FFFFFF"/>
            <w:vAlign w:val="center"/>
            <w:hideMark/>
          </w:tcPr>
          <w:p w14:paraId="519E49C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417" w:type="dxa"/>
            <w:tcBorders>
              <w:top w:val="nil"/>
              <w:left w:val="nil"/>
              <w:bottom w:val="single" w:sz="4" w:space="0" w:color="auto"/>
              <w:right w:val="single" w:sz="4" w:space="0" w:color="auto"/>
            </w:tcBorders>
            <w:shd w:val="clear" w:color="000000" w:fill="FFFFFF"/>
            <w:vAlign w:val="center"/>
            <w:hideMark/>
          </w:tcPr>
          <w:p w14:paraId="40816E20" w14:textId="77777777" w:rsidR="008A53CD" w:rsidRPr="008A53CD" w:rsidRDefault="008A53CD" w:rsidP="008A53CD">
            <w:pPr>
              <w:suppressAutoHyphens w:val="0"/>
              <w:spacing w:line="240" w:lineRule="auto"/>
              <w:jc w:val="center"/>
              <w:rPr>
                <w:rFonts w:ascii="Garamond" w:hAnsi="Garamond" w:cs="Arial"/>
                <w:sz w:val="22"/>
                <w:szCs w:val="22"/>
                <w:lang w:eastAsia="pl-PL"/>
              </w:rPr>
            </w:pPr>
            <w:r w:rsidRPr="008A53CD">
              <w:rPr>
                <w:rFonts w:ascii="Garamond" w:hAnsi="Garamond" w:cs="Arial"/>
                <w:sz w:val="22"/>
                <w:szCs w:val="22"/>
                <w:lang w:eastAsia="pl-PL"/>
              </w:rPr>
              <w:t>0</w:t>
            </w:r>
          </w:p>
        </w:tc>
        <w:tc>
          <w:tcPr>
            <w:tcW w:w="1238" w:type="dxa"/>
            <w:tcBorders>
              <w:top w:val="nil"/>
              <w:left w:val="nil"/>
              <w:bottom w:val="single" w:sz="4" w:space="0" w:color="auto"/>
              <w:right w:val="single" w:sz="8" w:space="0" w:color="auto"/>
            </w:tcBorders>
            <w:shd w:val="clear" w:color="000000" w:fill="FFFFFF"/>
            <w:vAlign w:val="center"/>
            <w:hideMark/>
          </w:tcPr>
          <w:p w14:paraId="406A8DC1"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6" w:type="dxa"/>
            <w:vAlign w:val="center"/>
            <w:hideMark/>
          </w:tcPr>
          <w:p w14:paraId="52CCED91"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6F458E8F" w14:textId="77777777" w:rsidTr="008A53CD">
        <w:trPr>
          <w:trHeight w:val="735"/>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3D3EE7D2"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bieżącej płynności                                           </w:t>
            </w:r>
          </w:p>
        </w:tc>
        <w:tc>
          <w:tcPr>
            <w:tcW w:w="1258" w:type="dxa"/>
            <w:tcBorders>
              <w:top w:val="nil"/>
              <w:left w:val="nil"/>
              <w:bottom w:val="single" w:sz="4" w:space="0" w:color="auto"/>
              <w:right w:val="single" w:sz="4" w:space="0" w:color="auto"/>
            </w:tcBorders>
            <w:shd w:val="clear" w:color="auto" w:fill="auto"/>
            <w:vAlign w:val="center"/>
            <w:hideMark/>
          </w:tcPr>
          <w:p w14:paraId="31502753"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337" w:type="dxa"/>
            <w:tcBorders>
              <w:top w:val="nil"/>
              <w:left w:val="nil"/>
              <w:bottom w:val="single" w:sz="4" w:space="0" w:color="auto"/>
              <w:right w:val="single" w:sz="4" w:space="0" w:color="auto"/>
            </w:tcBorders>
            <w:shd w:val="clear" w:color="000000" w:fill="FFFFFF"/>
            <w:vAlign w:val="center"/>
            <w:hideMark/>
          </w:tcPr>
          <w:p w14:paraId="6B01724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417" w:type="dxa"/>
            <w:tcBorders>
              <w:top w:val="nil"/>
              <w:left w:val="nil"/>
              <w:bottom w:val="single" w:sz="4" w:space="0" w:color="auto"/>
              <w:right w:val="single" w:sz="4" w:space="0" w:color="auto"/>
            </w:tcBorders>
            <w:shd w:val="clear" w:color="auto" w:fill="auto"/>
            <w:vAlign w:val="center"/>
            <w:hideMark/>
          </w:tcPr>
          <w:p w14:paraId="318A8A9A"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238" w:type="dxa"/>
            <w:tcBorders>
              <w:top w:val="nil"/>
              <w:left w:val="nil"/>
              <w:bottom w:val="single" w:sz="4" w:space="0" w:color="auto"/>
              <w:right w:val="single" w:sz="8" w:space="0" w:color="auto"/>
            </w:tcBorders>
            <w:shd w:val="clear" w:color="000000" w:fill="FFFFFF"/>
            <w:vAlign w:val="center"/>
            <w:hideMark/>
          </w:tcPr>
          <w:p w14:paraId="2AF40A6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4</w:t>
            </w:r>
          </w:p>
        </w:tc>
        <w:tc>
          <w:tcPr>
            <w:tcW w:w="16" w:type="dxa"/>
            <w:vAlign w:val="center"/>
            <w:hideMark/>
          </w:tcPr>
          <w:p w14:paraId="6F3F6D00"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03B5E2A8" w14:textId="77777777" w:rsidTr="008A53CD">
        <w:trPr>
          <w:trHeight w:val="720"/>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5A7B0400"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lastRenderedPageBreak/>
              <w:t>Wskaźnik szybkiej płynności</w:t>
            </w:r>
          </w:p>
        </w:tc>
        <w:tc>
          <w:tcPr>
            <w:tcW w:w="1258" w:type="dxa"/>
            <w:tcBorders>
              <w:top w:val="nil"/>
              <w:left w:val="nil"/>
              <w:bottom w:val="single" w:sz="4" w:space="0" w:color="auto"/>
              <w:right w:val="single" w:sz="4" w:space="0" w:color="auto"/>
            </w:tcBorders>
            <w:shd w:val="clear" w:color="auto" w:fill="auto"/>
            <w:vAlign w:val="center"/>
            <w:hideMark/>
          </w:tcPr>
          <w:p w14:paraId="3C555E2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337" w:type="dxa"/>
            <w:tcBorders>
              <w:top w:val="nil"/>
              <w:left w:val="nil"/>
              <w:bottom w:val="single" w:sz="4" w:space="0" w:color="auto"/>
              <w:right w:val="single" w:sz="4" w:space="0" w:color="auto"/>
            </w:tcBorders>
            <w:shd w:val="clear" w:color="000000" w:fill="FFFFFF"/>
            <w:vAlign w:val="center"/>
            <w:hideMark/>
          </w:tcPr>
          <w:p w14:paraId="320AA696"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417" w:type="dxa"/>
            <w:tcBorders>
              <w:top w:val="nil"/>
              <w:left w:val="nil"/>
              <w:bottom w:val="single" w:sz="4" w:space="0" w:color="auto"/>
              <w:right w:val="single" w:sz="4" w:space="0" w:color="auto"/>
            </w:tcBorders>
            <w:shd w:val="clear" w:color="auto" w:fill="auto"/>
            <w:vAlign w:val="center"/>
            <w:hideMark/>
          </w:tcPr>
          <w:p w14:paraId="5DA591D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238" w:type="dxa"/>
            <w:tcBorders>
              <w:top w:val="nil"/>
              <w:left w:val="nil"/>
              <w:bottom w:val="single" w:sz="4" w:space="0" w:color="auto"/>
              <w:right w:val="single" w:sz="8" w:space="0" w:color="auto"/>
            </w:tcBorders>
            <w:shd w:val="clear" w:color="000000" w:fill="FFFFFF"/>
            <w:vAlign w:val="center"/>
            <w:hideMark/>
          </w:tcPr>
          <w:p w14:paraId="33D90501"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6" w:type="dxa"/>
            <w:vAlign w:val="center"/>
            <w:hideMark/>
          </w:tcPr>
          <w:p w14:paraId="27A1C2AB"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01459FF6" w14:textId="77777777" w:rsidTr="008A53CD">
        <w:trPr>
          <w:trHeight w:val="645"/>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73C4F3E9"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rotacji należności  (w dniach)                           </w:t>
            </w:r>
          </w:p>
        </w:tc>
        <w:tc>
          <w:tcPr>
            <w:tcW w:w="1258" w:type="dxa"/>
            <w:tcBorders>
              <w:top w:val="nil"/>
              <w:left w:val="nil"/>
              <w:bottom w:val="single" w:sz="4" w:space="0" w:color="auto"/>
              <w:right w:val="single" w:sz="4" w:space="0" w:color="auto"/>
            </w:tcBorders>
            <w:shd w:val="clear" w:color="auto" w:fill="auto"/>
            <w:vAlign w:val="center"/>
            <w:hideMark/>
          </w:tcPr>
          <w:p w14:paraId="65CE2A47"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3</w:t>
            </w:r>
          </w:p>
        </w:tc>
        <w:tc>
          <w:tcPr>
            <w:tcW w:w="1337" w:type="dxa"/>
            <w:tcBorders>
              <w:top w:val="nil"/>
              <w:left w:val="nil"/>
              <w:bottom w:val="single" w:sz="4" w:space="0" w:color="auto"/>
              <w:right w:val="single" w:sz="4" w:space="0" w:color="auto"/>
            </w:tcBorders>
            <w:shd w:val="clear" w:color="000000" w:fill="FFFFFF"/>
            <w:vAlign w:val="center"/>
            <w:hideMark/>
          </w:tcPr>
          <w:p w14:paraId="3138D0B8" w14:textId="4DBAF7E6" w:rsidR="008A53CD" w:rsidRPr="008A53CD" w:rsidRDefault="00121990"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c>
          <w:tcPr>
            <w:tcW w:w="1417" w:type="dxa"/>
            <w:tcBorders>
              <w:top w:val="nil"/>
              <w:left w:val="nil"/>
              <w:bottom w:val="single" w:sz="4" w:space="0" w:color="auto"/>
              <w:right w:val="single" w:sz="4" w:space="0" w:color="auto"/>
            </w:tcBorders>
            <w:shd w:val="clear" w:color="auto" w:fill="auto"/>
            <w:vAlign w:val="center"/>
            <w:hideMark/>
          </w:tcPr>
          <w:p w14:paraId="6BABDE09" w14:textId="7437D51A" w:rsidR="008A53CD" w:rsidRPr="008A53CD" w:rsidRDefault="00121990"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c>
          <w:tcPr>
            <w:tcW w:w="1238" w:type="dxa"/>
            <w:tcBorders>
              <w:top w:val="nil"/>
              <w:left w:val="nil"/>
              <w:bottom w:val="single" w:sz="4" w:space="0" w:color="auto"/>
              <w:right w:val="single" w:sz="8" w:space="0" w:color="auto"/>
            </w:tcBorders>
            <w:shd w:val="clear" w:color="000000" w:fill="FFFFFF"/>
            <w:vAlign w:val="center"/>
            <w:hideMark/>
          </w:tcPr>
          <w:p w14:paraId="3B71EC24" w14:textId="52DFFCC3" w:rsidR="008A53CD" w:rsidRPr="008A53CD" w:rsidRDefault="00121990" w:rsidP="008A53CD">
            <w:pPr>
              <w:suppressAutoHyphens w:val="0"/>
              <w:spacing w:line="240" w:lineRule="auto"/>
              <w:jc w:val="center"/>
              <w:rPr>
                <w:rFonts w:ascii="Garamond" w:hAnsi="Garamond" w:cs="Arial"/>
                <w:color w:val="auto"/>
                <w:sz w:val="22"/>
                <w:szCs w:val="22"/>
                <w:lang w:eastAsia="pl-PL"/>
              </w:rPr>
            </w:pPr>
            <w:r>
              <w:rPr>
                <w:rFonts w:ascii="Garamond" w:hAnsi="Garamond" w:cs="Arial"/>
                <w:color w:val="auto"/>
                <w:sz w:val="22"/>
                <w:szCs w:val="22"/>
                <w:lang w:eastAsia="pl-PL"/>
              </w:rPr>
              <w:t>2</w:t>
            </w:r>
          </w:p>
        </w:tc>
        <w:tc>
          <w:tcPr>
            <w:tcW w:w="16" w:type="dxa"/>
            <w:vAlign w:val="center"/>
            <w:hideMark/>
          </w:tcPr>
          <w:p w14:paraId="1C7CF813"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5564755B" w14:textId="77777777" w:rsidTr="008A53CD">
        <w:trPr>
          <w:trHeight w:val="660"/>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6716568A"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rotacji zobowiązań  (w dniach)</w:t>
            </w:r>
          </w:p>
        </w:tc>
        <w:tc>
          <w:tcPr>
            <w:tcW w:w="1258" w:type="dxa"/>
            <w:tcBorders>
              <w:top w:val="nil"/>
              <w:left w:val="nil"/>
              <w:bottom w:val="single" w:sz="4" w:space="0" w:color="auto"/>
              <w:right w:val="single" w:sz="4" w:space="0" w:color="auto"/>
            </w:tcBorders>
            <w:shd w:val="clear" w:color="auto" w:fill="auto"/>
            <w:vAlign w:val="center"/>
            <w:hideMark/>
          </w:tcPr>
          <w:p w14:paraId="5F02D27C"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1337" w:type="dxa"/>
            <w:tcBorders>
              <w:top w:val="nil"/>
              <w:left w:val="nil"/>
              <w:bottom w:val="single" w:sz="4" w:space="0" w:color="auto"/>
              <w:right w:val="single" w:sz="4" w:space="0" w:color="auto"/>
            </w:tcBorders>
            <w:shd w:val="clear" w:color="000000" w:fill="FFFFFF"/>
            <w:vAlign w:val="center"/>
            <w:hideMark/>
          </w:tcPr>
          <w:p w14:paraId="0A51C900"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1417" w:type="dxa"/>
            <w:tcBorders>
              <w:top w:val="nil"/>
              <w:left w:val="nil"/>
              <w:bottom w:val="single" w:sz="4" w:space="0" w:color="auto"/>
              <w:right w:val="single" w:sz="4" w:space="0" w:color="auto"/>
            </w:tcBorders>
            <w:shd w:val="clear" w:color="auto" w:fill="auto"/>
            <w:vAlign w:val="center"/>
            <w:hideMark/>
          </w:tcPr>
          <w:p w14:paraId="7E98B25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1238" w:type="dxa"/>
            <w:tcBorders>
              <w:top w:val="nil"/>
              <w:left w:val="nil"/>
              <w:bottom w:val="single" w:sz="4" w:space="0" w:color="auto"/>
              <w:right w:val="single" w:sz="8" w:space="0" w:color="auto"/>
            </w:tcBorders>
            <w:shd w:val="clear" w:color="000000" w:fill="FFFFFF"/>
            <w:vAlign w:val="center"/>
            <w:hideMark/>
          </w:tcPr>
          <w:p w14:paraId="42FE3C99"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7</w:t>
            </w:r>
          </w:p>
        </w:tc>
        <w:tc>
          <w:tcPr>
            <w:tcW w:w="16" w:type="dxa"/>
            <w:vAlign w:val="center"/>
            <w:hideMark/>
          </w:tcPr>
          <w:p w14:paraId="2E678BA1"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7060405F" w14:textId="77777777" w:rsidTr="008A53CD">
        <w:trPr>
          <w:trHeight w:val="600"/>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09F7040C"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zadłużenia aktywów (%)                          </w:t>
            </w:r>
          </w:p>
        </w:tc>
        <w:tc>
          <w:tcPr>
            <w:tcW w:w="1258" w:type="dxa"/>
            <w:tcBorders>
              <w:top w:val="nil"/>
              <w:left w:val="nil"/>
              <w:bottom w:val="single" w:sz="4" w:space="0" w:color="auto"/>
              <w:right w:val="single" w:sz="4" w:space="0" w:color="auto"/>
            </w:tcBorders>
            <w:shd w:val="clear" w:color="auto" w:fill="auto"/>
            <w:vAlign w:val="center"/>
            <w:hideMark/>
          </w:tcPr>
          <w:p w14:paraId="6462E79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3</w:t>
            </w:r>
          </w:p>
        </w:tc>
        <w:tc>
          <w:tcPr>
            <w:tcW w:w="1337" w:type="dxa"/>
            <w:tcBorders>
              <w:top w:val="nil"/>
              <w:left w:val="nil"/>
              <w:bottom w:val="single" w:sz="4" w:space="0" w:color="auto"/>
              <w:right w:val="single" w:sz="4" w:space="0" w:color="auto"/>
            </w:tcBorders>
            <w:shd w:val="clear" w:color="000000" w:fill="FFFFFF"/>
            <w:vAlign w:val="center"/>
            <w:hideMark/>
          </w:tcPr>
          <w:p w14:paraId="415C9F7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417" w:type="dxa"/>
            <w:tcBorders>
              <w:top w:val="nil"/>
              <w:left w:val="nil"/>
              <w:bottom w:val="single" w:sz="4" w:space="0" w:color="auto"/>
              <w:right w:val="single" w:sz="4" w:space="0" w:color="auto"/>
            </w:tcBorders>
            <w:shd w:val="clear" w:color="auto" w:fill="auto"/>
            <w:vAlign w:val="center"/>
            <w:hideMark/>
          </w:tcPr>
          <w:p w14:paraId="195F91B9"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238" w:type="dxa"/>
            <w:tcBorders>
              <w:top w:val="nil"/>
              <w:left w:val="nil"/>
              <w:bottom w:val="single" w:sz="4" w:space="0" w:color="auto"/>
              <w:right w:val="single" w:sz="8" w:space="0" w:color="auto"/>
            </w:tcBorders>
            <w:shd w:val="clear" w:color="000000" w:fill="FFFFFF"/>
            <w:vAlign w:val="center"/>
            <w:hideMark/>
          </w:tcPr>
          <w:p w14:paraId="02661DBC"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8</w:t>
            </w:r>
          </w:p>
        </w:tc>
        <w:tc>
          <w:tcPr>
            <w:tcW w:w="16" w:type="dxa"/>
            <w:vAlign w:val="center"/>
            <w:hideMark/>
          </w:tcPr>
          <w:p w14:paraId="228F5944"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2EEA1C04" w14:textId="77777777" w:rsidTr="008A53CD">
        <w:trPr>
          <w:trHeight w:val="660"/>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379275F9" w14:textId="77777777" w:rsidR="008A53CD" w:rsidRPr="008A53CD" w:rsidRDefault="008A53CD" w:rsidP="008A53CD">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wypłacalności</w:t>
            </w:r>
          </w:p>
        </w:tc>
        <w:tc>
          <w:tcPr>
            <w:tcW w:w="1258" w:type="dxa"/>
            <w:tcBorders>
              <w:top w:val="nil"/>
              <w:left w:val="nil"/>
              <w:bottom w:val="single" w:sz="4" w:space="0" w:color="auto"/>
              <w:right w:val="single" w:sz="4" w:space="0" w:color="auto"/>
            </w:tcBorders>
            <w:shd w:val="clear" w:color="auto" w:fill="auto"/>
            <w:vAlign w:val="center"/>
            <w:hideMark/>
          </w:tcPr>
          <w:p w14:paraId="08C495D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337" w:type="dxa"/>
            <w:tcBorders>
              <w:top w:val="nil"/>
              <w:left w:val="nil"/>
              <w:bottom w:val="single" w:sz="4" w:space="0" w:color="auto"/>
              <w:right w:val="single" w:sz="4" w:space="0" w:color="auto"/>
            </w:tcBorders>
            <w:shd w:val="clear" w:color="000000" w:fill="FFFFFF"/>
            <w:vAlign w:val="center"/>
            <w:hideMark/>
          </w:tcPr>
          <w:p w14:paraId="78B6394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417" w:type="dxa"/>
            <w:tcBorders>
              <w:top w:val="nil"/>
              <w:left w:val="nil"/>
              <w:bottom w:val="single" w:sz="4" w:space="0" w:color="auto"/>
              <w:right w:val="single" w:sz="4" w:space="0" w:color="auto"/>
            </w:tcBorders>
            <w:shd w:val="clear" w:color="auto" w:fill="auto"/>
            <w:vAlign w:val="center"/>
            <w:hideMark/>
          </w:tcPr>
          <w:p w14:paraId="01BFDAD2"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238" w:type="dxa"/>
            <w:tcBorders>
              <w:top w:val="nil"/>
              <w:left w:val="nil"/>
              <w:bottom w:val="single" w:sz="4" w:space="0" w:color="auto"/>
              <w:right w:val="single" w:sz="8" w:space="0" w:color="auto"/>
            </w:tcBorders>
            <w:shd w:val="clear" w:color="000000" w:fill="FFFFFF"/>
            <w:vAlign w:val="center"/>
            <w:hideMark/>
          </w:tcPr>
          <w:p w14:paraId="383A5A2B"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0</w:t>
            </w:r>
          </w:p>
        </w:tc>
        <w:tc>
          <w:tcPr>
            <w:tcW w:w="16" w:type="dxa"/>
            <w:vAlign w:val="center"/>
            <w:hideMark/>
          </w:tcPr>
          <w:p w14:paraId="31A20016" w14:textId="77777777" w:rsidR="008A53CD" w:rsidRPr="008A53CD" w:rsidRDefault="008A53CD" w:rsidP="008A53CD">
            <w:pPr>
              <w:suppressAutoHyphens w:val="0"/>
              <w:spacing w:line="240" w:lineRule="auto"/>
              <w:rPr>
                <w:color w:val="auto"/>
                <w:sz w:val="20"/>
                <w:szCs w:val="20"/>
                <w:lang w:eastAsia="pl-PL"/>
              </w:rPr>
            </w:pPr>
          </w:p>
        </w:tc>
      </w:tr>
      <w:tr w:rsidR="008A53CD" w:rsidRPr="008A53CD" w14:paraId="1698D63C" w14:textId="77777777" w:rsidTr="008A53CD">
        <w:trPr>
          <w:trHeight w:val="570"/>
        </w:trPr>
        <w:tc>
          <w:tcPr>
            <w:tcW w:w="3354" w:type="dxa"/>
            <w:tcBorders>
              <w:top w:val="nil"/>
              <w:left w:val="single" w:sz="8" w:space="0" w:color="auto"/>
              <w:bottom w:val="single" w:sz="8" w:space="0" w:color="auto"/>
              <w:right w:val="single" w:sz="4" w:space="0" w:color="auto"/>
            </w:tcBorders>
            <w:shd w:val="clear" w:color="000000" w:fill="99CC00"/>
            <w:noWrap/>
            <w:vAlign w:val="center"/>
            <w:hideMark/>
          </w:tcPr>
          <w:p w14:paraId="66419EFE"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RAZEM</w:t>
            </w:r>
          </w:p>
        </w:tc>
        <w:tc>
          <w:tcPr>
            <w:tcW w:w="1258" w:type="dxa"/>
            <w:tcBorders>
              <w:top w:val="nil"/>
              <w:left w:val="nil"/>
              <w:bottom w:val="single" w:sz="8" w:space="0" w:color="auto"/>
              <w:right w:val="single" w:sz="4" w:space="0" w:color="auto"/>
            </w:tcBorders>
            <w:shd w:val="clear" w:color="000000" w:fill="99CC00"/>
            <w:vAlign w:val="center"/>
            <w:hideMark/>
          </w:tcPr>
          <w:p w14:paraId="7E7D526F"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13</w:t>
            </w:r>
          </w:p>
        </w:tc>
        <w:tc>
          <w:tcPr>
            <w:tcW w:w="1337" w:type="dxa"/>
            <w:tcBorders>
              <w:top w:val="nil"/>
              <w:left w:val="nil"/>
              <w:bottom w:val="single" w:sz="8" w:space="0" w:color="auto"/>
              <w:right w:val="single" w:sz="4" w:space="0" w:color="auto"/>
            </w:tcBorders>
            <w:shd w:val="clear" w:color="000000" w:fill="99CC00"/>
            <w:vAlign w:val="center"/>
            <w:hideMark/>
          </w:tcPr>
          <w:p w14:paraId="28D05633" w14:textId="58B8E489"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2</w:t>
            </w:r>
            <w:r w:rsidR="00121990">
              <w:rPr>
                <w:rFonts w:ascii="Garamond" w:hAnsi="Garamond" w:cs="Arial"/>
                <w:b/>
                <w:bCs/>
                <w:color w:val="auto"/>
                <w:sz w:val="22"/>
                <w:szCs w:val="22"/>
                <w:lang w:eastAsia="pl-PL"/>
              </w:rPr>
              <w:t>5</w:t>
            </w:r>
          </w:p>
        </w:tc>
        <w:tc>
          <w:tcPr>
            <w:tcW w:w="1417" w:type="dxa"/>
            <w:tcBorders>
              <w:top w:val="nil"/>
              <w:left w:val="nil"/>
              <w:bottom w:val="single" w:sz="8" w:space="0" w:color="auto"/>
              <w:right w:val="single" w:sz="4" w:space="0" w:color="auto"/>
            </w:tcBorders>
            <w:shd w:val="clear" w:color="000000" w:fill="99CC00"/>
            <w:vAlign w:val="center"/>
            <w:hideMark/>
          </w:tcPr>
          <w:p w14:paraId="5B87AF54" w14:textId="347381F1"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2</w:t>
            </w:r>
            <w:r w:rsidR="00121990">
              <w:rPr>
                <w:rFonts w:ascii="Garamond" w:hAnsi="Garamond" w:cs="Arial"/>
                <w:b/>
                <w:bCs/>
                <w:color w:val="auto"/>
                <w:sz w:val="22"/>
                <w:szCs w:val="22"/>
                <w:lang w:eastAsia="pl-PL"/>
              </w:rPr>
              <w:t>5</w:t>
            </w:r>
          </w:p>
        </w:tc>
        <w:tc>
          <w:tcPr>
            <w:tcW w:w="1238" w:type="dxa"/>
            <w:tcBorders>
              <w:top w:val="nil"/>
              <w:left w:val="nil"/>
              <w:bottom w:val="single" w:sz="8" w:space="0" w:color="auto"/>
              <w:right w:val="single" w:sz="4" w:space="0" w:color="auto"/>
            </w:tcBorders>
            <w:shd w:val="clear" w:color="000000" w:fill="99CC00"/>
            <w:vAlign w:val="center"/>
            <w:hideMark/>
          </w:tcPr>
          <w:p w14:paraId="7F5E0A52" w14:textId="2B1E29B8"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3</w:t>
            </w:r>
            <w:r w:rsidR="00121990">
              <w:rPr>
                <w:rFonts w:ascii="Garamond" w:hAnsi="Garamond" w:cs="Arial"/>
                <w:b/>
                <w:bCs/>
                <w:color w:val="auto"/>
                <w:sz w:val="22"/>
                <w:szCs w:val="22"/>
                <w:lang w:eastAsia="pl-PL"/>
              </w:rPr>
              <w:t>2</w:t>
            </w:r>
          </w:p>
        </w:tc>
        <w:tc>
          <w:tcPr>
            <w:tcW w:w="16" w:type="dxa"/>
            <w:vAlign w:val="center"/>
            <w:hideMark/>
          </w:tcPr>
          <w:p w14:paraId="55BEDFB4" w14:textId="77777777" w:rsidR="008A53CD" w:rsidRPr="008A53CD" w:rsidRDefault="008A53CD" w:rsidP="008A53CD">
            <w:pPr>
              <w:suppressAutoHyphens w:val="0"/>
              <w:spacing w:line="240" w:lineRule="auto"/>
              <w:rPr>
                <w:color w:val="auto"/>
                <w:sz w:val="20"/>
                <w:szCs w:val="20"/>
                <w:lang w:eastAsia="pl-PL"/>
              </w:rPr>
            </w:pPr>
          </w:p>
        </w:tc>
      </w:tr>
    </w:tbl>
    <w:p w14:paraId="0312463A" w14:textId="77777777" w:rsidR="00E11A57" w:rsidRDefault="00E11A57" w:rsidP="002E0119"/>
    <w:p w14:paraId="3EC921EA" w14:textId="77777777" w:rsidR="00E11A57" w:rsidRDefault="00E11A57" w:rsidP="002E0119"/>
    <w:p w14:paraId="00D87EAA" w14:textId="77777777" w:rsidR="00E11A57" w:rsidRDefault="00E11A57" w:rsidP="002E0119"/>
    <w:p w14:paraId="217B2F4D" w14:textId="77777777" w:rsidR="00E11A57" w:rsidRDefault="00E11A57" w:rsidP="002E0119"/>
    <w:p w14:paraId="5DA4F0FD" w14:textId="77777777" w:rsidR="00E11A57" w:rsidRDefault="00E11A57" w:rsidP="002E0119"/>
    <w:p w14:paraId="62C81CAD" w14:textId="77777777" w:rsidR="00E11A57" w:rsidRDefault="00E11A57" w:rsidP="002E0119"/>
    <w:p w14:paraId="6B31472C" w14:textId="77777777" w:rsidR="00E11A57" w:rsidRDefault="00E11A57" w:rsidP="002E0119"/>
    <w:p w14:paraId="5DF4F926" w14:textId="77777777" w:rsidR="00E11A57" w:rsidRDefault="00E11A57" w:rsidP="002E0119"/>
    <w:p w14:paraId="1B79970E" w14:textId="77777777" w:rsidR="00E11A57" w:rsidRDefault="00E11A57" w:rsidP="002E0119"/>
    <w:p w14:paraId="2135F711" w14:textId="77777777" w:rsidR="00E11A57" w:rsidRDefault="00E11A57" w:rsidP="002E0119"/>
    <w:p w14:paraId="1EF89F65" w14:textId="2E53FC14" w:rsidR="00C34BA5" w:rsidRDefault="00DD2510" w:rsidP="002E0119">
      <w:r w:rsidRPr="00402325">
        <w:t>Wyk. 1 Suma uzyskanych punktów ogółem za lata 202</w:t>
      </w:r>
      <w:r w:rsidR="00B60AE6">
        <w:t>2</w:t>
      </w:r>
      <w:r w:rsidRPr="00402325">
        <w:t xml:space="preserve"> – 202</w:t>
      </w:r>
      <w:r w:rsidR="00B60AE6">
        <w:t>5</w:t>
      </w:r>
      <w:r w:rsidRPr="00402325">
        <w:t>.</w:t>
      </w:r>
    </w:p>
    <w:p w14:paraId="62FBFEC7" w14:textId="1CACB8CF" w:rsidR="000B19E3" w:rsidRDefault="007054FA" w:rsidP="00E11A57">
      <w:r>
        <w:rPr>
          <w:noProof/>
        </w:rPr>
        <w:drawing>
          <wp:inline distT="0" distB="0" distL="0" distR="0" wp14:anchorId="54F45E4F" wp14:editId="47B24277">
            <wp:extent cx="4577715" cy="2758440"/>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6" w:name="_Toc511970165"/>
      <w:bookmarkStart w:id="27" w:name="_Toc511971157"/>
      <w:bookmarkStart w:id="28" w:name="_Toc511971428"/>
      <w:bookmarkStart w:id="29" w:name="_Toc511971556"/>
      <w:bookmarkStart w:id="30" w:name="_Toc511971802"/>
      <w:bookmarkStart w:id="31" w:name="_Toc511971869"/>
      <w:bookmarkStart w:id="32" w:name="_Toc511973493"/>
      <w:bookmarkStart w:id="33" w:name="_Toc512403199"/>
      <w:bookmarkStart w:id="34" w:name="_Toc6895153"/>
    </w:p>
    <w:p w14:paraId="3889AD8D" w14:textId="77777777" w:rsidR="00DD2510" w:rsidRDefault="00DD2510" w:rsidP="00323F30">
      <w:pPr>
        <w:rPr>
          <w:sz w:val="20"/>
          <w:szCs w:val="20"/>
        </w:rPr>
      </w:pPr>
    </w:p>
    <w:bookmarkEnd w:id="26"/>
    <w:bookmarkEnd w:id="27"/>
    <w:bookmarkEnd w:id="28"/>
    <w:bookmarkEnd w:id="29"/>
    <w:bookmarkEnd w:id="30"/>
    <w:bookmarkEnd w:id="31"/>
    <w:bookmarkEnd w:id="32"/>
    <w:bookmarkEnd w:id="33"/>
    <w:bookmarkEnd w:id="34"/>
    <w:p w14:paraId="14D3D809" w14:textId="50AF537E" w:rsidR="00DD2510" w:rsidRDefault="00DD2510" w:rsidP="00323F30">
      <w:r w:rsidRPr="00402325">
        <w:t>Wyk. 2 Kształtowanie się wartości wskaźników na pr</w:t>
      </w:r>
      <w:r>
        <w:t>zestrzeni analizowanych lat 202</w:t>
      </w:r>
      <w:r w:rsidR="00AB32F0">
        <w:t>2</w:t>
      </w:r>
      <w:r w:rsidRPr="00402325">
        <w:t xml:space="preserve"> –</w:t>
      </w:r>
      <w:r>
        <w:t xml:space="preserve"> 202</w:t>
      </w:r>
      <w:r w:rsidR="00AB32F0">
        <w:t>5</w:t>
      </w:r>
      <w:r w:rsidRPr="00402325">
        <w:t>.</w:t>
      </w:r>
    </w:p>
    <w:p w14:paraId="1E1394A2" w14:textId="1BE9A0BB" w:rsidR="00DD2510" w:rsidRDefault="007054FA" w:rsidP="00323F30">
      <w:pPr>
        <w:rPr>
          <w:noProof/>
        </w:rPr>
      </w:pPr>
      <w:r>
        <w:rPr>
          <w:noProof/>
        </w:rPr>
        <w:lastRenderedPageBreak/>
        <w:drawing>
          <wp:inline distT="0" distB="0" distL="0" distR="0" wp14:anchorId="7791AEEB" wp14:editId="32204AFD">
            <wp:extent cx="5758815" cy="4076700"/>
            <wp:effectExtent l="0" t="0" r="0" b="0"/>
            <wp:docPr id="2" name="Obraz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C86DFE" w14:textId="77777777" w:rsidR="000B4FAC" w:rsidRDefault="000B4FAC" w:rsidP="00323F30"/>
    <w:p w14:paraId="7039C9A4" w14:textId="77777777" w:rsidR="00DD2510" w:rsidRPr="005C2201" w:rsidRDefault="00DD2510" w:rsidP="00812C39">
      <w:pPr>
        <w:pStyle w:val="Nagwek1"/>
        <w:framePr w:wrap="auto"/>
        <w:jc w:val="both"/>
        <w:rPr>
          <w:b/>
          <w:bCs/>
        </w:rPr>
      </w:pPr>
      <w:r>
        <w:t xml:space="preserve"> </w:t>
      </w:r>
      <w:bookmarkStart w:id="35" w:name="_Toc132708839"/>
      <w:r w:rsidRPr="005C2201">
        <w:rPr>
          <w:b/>
          <w:bCs/>
        </w:rPr>
        <w:t>INFORMACJA O ISTOTNYCH ZDARZENIACH MAJĄCYCH WPŁYW NA SYTUACJĘ EKONOMICZNO – FINANSOWĄ SAMODZIELNEGO PUBLICZNEGO  ZAKŁADU  OPIEKI  ZDROWOTNEJ</w:t>
      </w:r>
      <w:bookmarkEnd w:id="35"/>
    </w:p>
    <w:p w14:paraId="73F97AA8" w14:textId="77777777" w:rsidR="00DD2510" w:rsidRDefault="00DD2510" w:rsidP="00DA73B9">
      <w:pPr>
        <w:spacing w:line="360" w:lineRule="atLeast"/>
      </w:pPr>
    </w:p>
    <w:p w14:paraId="44E37664" w14:textId="77777777" w:rsidR="00DD2510" w:rsidRDefault="00DD2510" w:rsidP="00812C39">
      <w:pPr>
        <w:pStyle w:val="Nagwek2"/>
        <w:framePr w:wrap="auto"/>
      </w:pPr>
      <w:bookmarkStart w:id="36" w:name="_Toc132708840"/>
      <w:r w:rsidRPr="00402325">
        <w:t>Krótka charakterystyka struktury organizacyjnej</w:t>
      </w:r>
      <w:bookmarkEnd w:id="36"/>
      <w:r w:rsidRPr="00402325">
        <w:t xml:space="preserve"> </w:t>
      </w:r>
    </w:p>
    <w:p w14:paraId="6541C1CD" w14:textId="77777777" w:rsidR="00DD2510" w:rsidRPr="00812C39" w:rsidRDefault="00DD2510" w:rsidP="00812C39"/>
    <w:p w14:paraId="2C8414A1" w14:textId="79B586B6" w:rsidR="00D47C07" w:rsidRPr="00FE775D" w:rsidRDefault="00D47C07" w:rsidP="00D47C07">
      <w:pPr>
        <w:spacing w:line="360" w:lineRule="atLeast"/>
        <w:jc w:val="both"/>
      </w:pPr>
      <w:r>
        <w:rPr>
          <w:kern w:val="1"/>
        </w:rPr>
        <w:t xml:space="preserve">Jak już wcześniej wspominaliśmy </w:t>
      </w:r>
      <w:r w:rsidRPr="00FE775D">
        <w:rPr>
          <w:kern w:val="1"/>
        </w:rPr>
        <w:t xml:space="preserve">SP ZOZ Szpital Kolejowy w Wilkowicach-Bystrej jest szpitalem wielospecjalistycznym o charakterze zachowawczym. Wykonuje zadania w sposób ciągły, zapewniający całodobową opiekę lekarską i pielęgniarską. Przyjęcia pacjentów do Szpitala odbywają się w Izbie Przyjęć, całodobowo we wszystkie dni tygodnia. </w:t>
      </w:r>
      <w:r>
        <w:rPr>
          <w:shd w:val="clear" w:color="auto" w:fill="FFFFFF"/>
        </w:rPr>
        <w:t>Liczba</w:t>
      </w:r>
      <w:r w:rsidRPr="00FE775D">
        <w:rPr>
          <w:shd w:val="clear" w:color="auto" w:fill="FFFFFF"/>
        </w:rPr>
        <w:t xml:space="preserve">  łóżek szpitalnych  na  oddziałach</w:t>
      </w:r>
      <w:r>
        <w:rPr>
          <w:shd w:val="clear" w:color="auto" w:fill="FFFFFF"/>
        </w:rPr>
        <w:t xml:space="preserve">  </w:t>
      </w:r>
      <w:r w:rsidRPr="00FE775D">
        <w:rPr>
          <w:shd w:val="clear" w:color="auto" w:fill="FFFFFF"/>
        </w:rPr>
        <w:t>razem</w:t>
      </w:r>
      <w:r>
        <w:rPr>
          <w:shd w:val="clear" w:color="auto" w:fill="FFFFFF"/>
        </w:rPr>
        <w:t xml:space="preserve"> wynosi 124, w tym</w:t>
      </w:r>
      <w:r w:rsidRPr="00FE775D">
        <w:rPr>
          <w:shd w:val="clear" w:color="auto" w:fill="FFFFFF"/>
        </w:rPr>
        <w:t>:</w:t>
      </w:r>
    </w:p>
    <w:p w14:paraId="62183C61" w14:textId="77777777" w:rsidR="00D47C07" w:rsidRPr="00FE775D" w:rsidRDefault="00D47C07" w:rsidP="00D47C07">
      <w:pPr>
        <w:pStyle w:val="Tekstpodstawowy"/>
        <w:spacing w:after="0" w:line="360" w:lineRule="atLeast"/>
        <w:ind w:left="397"/>
        <w:jc w:val="both"/>
      </w:pPr>
      <w:r w:rsidRPr="00FE775D">
        <w:t>1)       Oddziale Wewnętrzny   -   22 łóżek - wykonującym kompleksowe świadczenia                           z zakresu chorób wewnętrznych, bez profilowania na hematologię, diabetologię, gastroenterologię  itp.,</w:t>
      </w:r>
    </w:p>
    <w:p w14:paraId="56D1318D" w14:textId="77777777" w:rsidR="00D47C07" w:rsidRPr="00FE775D" w:rsidRDefault="00D47C07" w:rsidP="00D47C07">
      <w:pPr>
        <w:pStyle w:val="Tekstpodstawowy"/>
        <w:spacing w:after="0" w:line="360" w:lineRule="atLeast"/>
        <w:ind w:left="397"/>
        <w:jc w:val="both"/>
      </w:pPr>
      <w:r w:rsidRPr="00FE775D">
        <w:t>3)       Oddziale Pulmonologiczny   -   22 łóżek,</w:t>
      </w:r>
    </w:p>
    <w:p w14:paraId="3266BFAC" w14:textId="77777777" w:rsidR="00D47C07" w:rsidRPr="00FE775D" w:rsidRDefault="00D47C07" w:rsidP="00D47C07">
      <w:pPr>
        <w:pStyle w:val="Tekstpodstawowy"/>
        <w:spacing w:after="0" w:line="360" w:lineRule="atLeast"/>
        <w:ind w:left="397"/>
        <w:jc w:val="both"/>
      </w:pPr>
      <w:r>
        <w:t>4</w:t>
      </w:r>
      <w:r w:rsidRPr="00FE775D">
        <w:t>)       Oddziale Rehabilitacji Ogólnoustrojowej   -   </w:t>
      </w:r>
      <w:r>
        <w:t>30</w:t>
      </w:r>
      <w:r w:rsidRPr="00FE775D">
        <w:t xml:space="preserve"> łóżek,</w:t>
      </w:r>
    </w:p>
    <w:p w14:paraId="2AD3EDF8" w14:textId="77777777" w:rsidR="00D47C07" w:rsidRPr="00FE775D" w:rsidRDefault="00D47C07" w:rsidP="00D47C07">
      <w:pPr>
        <w:pStyle w:val="Tekstpodstawowy"/>
        <w:spacing w:after="0" w:line="360" w:lineRule="atLeast"/>
        <w:ind w:left="397"/>
        <w:jc w:val="both"/>
      </w:pPr>
      <w:r>
        <w:t>5</w:t>
      </w:r>
      <w:r w:rsidRPr="00FE775D">
        <w:t>)       Oddziale Rehabilitacji Neurologicznej   -   25 łóżek,</w:t>
      </w:r>
    </w:p>
    <w:p w14:paraId="4853B57E" w14:textId="4E666CA7" w:rsidR="00D47C07" w:rsidRDefault="00D47C07" w:rsidP="00D47C07">
      <w:pPr>
        <w:pStyle w:val="Tekstpodstawowy"/>
        <w:spacing w:after="0" w:line="360" w:lineRule="atLeast"/>
        <w:ind w:left="397"/>
        <w:jc w:val="both"/>
      </w:pPr>
      <w:r>
        <w:t>6</w:t>
      </w:r>
      <w:r w:rsidRPr="00FE775D">
        <w:t>)       Oddzial</w:t>
      </w:r>
      <w:r>
        <w:t>e Medycyny</w:t>
      </w:r>
      <w:r w:rsidRPr="00FE775D">
        <w:t xml:space="preserve"> Paliatywnej   -   2</w:t>
      </w:r>
      <w:r>
        <w:t>5</w:t>
      </w:r>
      <w:r w:rsidRPr="00FE775D">
        <w:t xml:space="preserve"> łóżek.</w:t>
      </w:r>
    </w:p>
    <w:p w14:paraId="26B4CFC2" w14:textId="6A2C80BD" w:rsidR="00DD2510" w:rsidRDefault="00DD2510" w:rsidP="00D47C07">
      <w:pPr>
        <w:pStyle w:val="Tekstpodstawowy"/>
        <w:spacing w:after="0" w:line="360" w:lineRule="atLeast"/>
        <w:jc w:val="both"/>
      </w:pPr>
      <w:r w:rsidRPr="00402325">
        <w:t>Świadczenia z zakresu ambulatoryjnej opieki specjalistycznej realizowane są w</w:t>
      </w:r>
    </w:p>
    <w:p w14:paraId="019309BE" w14:textId="77777777" w:rsidR="00DD2510" w:rsidRPr="00402325" w:rsidRDefault="00DD2510" w:rsidP="00D47C07">
      <w:pPr>
        <w:pStyle w:val="Tekstpodstawowy"/>
        <w:spacing w:after="0" w:line="360" w:lineRule="atLeast"/>
        <w:jc w:val="both"/>
      </w:pPr>
      <w:r w:rsidRPr="00402325">
        <w:t>Poradniach Specjalistycznych:</w:t>
      </w:r>
    </w:p>
    <w:p w14:paraId="00E95D59" w14:textId="77777777" w:rsidR="00DD2510" w:rsidRPr="00402325" w:rsidRDefault="00DD2510" w:rsidP="002E0119">
      <w:pPr>
        <w:pStyle w:val="Tekstpodstawowy"/>
        <w:spacing w:after="0" w:line="360" w:lineRule="atLeast"/>
        <w:ind w:left="330"/>
        <w:jc w:val="both"/>
      </w:pPr>
      <w:r w:rsidRPr="00402325">
        <w:lastRenderedPageBreak/>
        <w:t>1)       Poradni Kardiologicznej,</w:t>
      </w:r>
    </w:p>
    <w:p w14:paraId="13AECFF7" w14:textId="6F156B27" w:rsidR="00DD2510" w:rsidRPr="00402325" w:rsidRDefault="00DD2510" w:rsidP="002E0119">
      <w:pPr>
        <w:pStyle w:val="Tekstpodstawowy"/>
        <w:spacing w:after="0" w:line="360" w:lineRule="atLeast"/>
        <w:ind w:left="330"/>
        <w:jc w:val="both"/>
      </w:pPr>
      <w:r>
        <w:t>2)       Poradni Neurologicznej</w:t>
      </w:r>
      <w:r w:rsidR="00B42783">
        <w:t>,</w:t>
      </w:r>
      <w:r>
        <w:t xml:space="preserve"> </w:t>
      </w:r>
    </w:p>
    <w:p w14:paraId="346CF149" w14:textId="77777777" w:rsidR="00DD2510" w:rsidRPr="00402325" w:rsidRDefault="00DD2510" w:rsidP="002E0119">
      <w:pPr>
        <w:pStyle w:val="Tekstpodstawowy"/>
        <w:spacing w:after="0" w:line="360" w:lineRule="atLeast"/>
        <w:ind w:left="330"/>
        <w:jc w:val="both"/>
      </w:pPr>
      <w:r w:rsidRPr="00402325">
        <w:t>3)       Poradni Rehabilitacyjnej,</w:t>
      </w:r>
    </w:p>
    <w:p w14:paraId="527151B3" w14:textId="1CD562C3" w:rsidR="00DD2510" w:rsidRDefault="00DD2510" w:rsidP="002E0119">
      <w:pPr>
        <w:pStyle w:val="Tekstpodstawowy"/>
        <w:spacing w:after="0" w:line="360" w:lineRule="atLeast"/>
        <w:ind w:left="330"/>
        <w:jc w:val="both"/>
      </w:pPr>
      <w:r w:rsidRPr="00402325">
        <w:t xml:space="preserve">4)       Poradni </w:t>
      </w:r>
      <w:r w:rsidR="00706A4D">
        <w:t xml:space="preserve">Medycyny </w:t>
      </w:r>
      <w:r w:rsidRPr="00402325">
        <w:t>Paliatywnej,</w:t>
      </w:r>
    </w:p>
    <w:p w14:paraId="62DC3127" w14:textId="2E4113A5" w:rsidR="007054FA" w:rsidRPr="00402325" w:rsidRDefault="007054FA" w:rsidP="002E0119">
      <w:pPr>
        <w:pStyle w:val="Tekstpodstawowy"/>
        <w:spacing w:after="0" w:line="360" w:lineRule="atLeast"/>
        <w:ind w:left="330"/>
        <w:jc w:val="both"/>
      </w:pPr>
      <w:r>
        <w:t>5)</w:t>
      </w:r>
      <w:r>
        <w:tab/>
        <w:t xml:space="preserve">    </w:t>
      </w:r>
      <w:r w:rsidRPr="00402325">
        <w:t>Poradni</w:t>
      </w:r>
      <w:r>
        <w:t xml:space="preserve"> </w:t>
      </w:r>
      <w:proofErr w:type="spellStart"/>
      <w:r>
        <w:t>Pulmunologicznej</w:t>
      </w:r>
      <w:proofErr w:type="spellEnd"/>
      <w:r w:rsidRPr="00402325">
        <w:t>,</w:t>
      </w:r>
    </w:p>
    <w:p w14:paraId="60582FDB" w14:textId="77777777" w:rsidR="00DD2510" w:rsidRDefault="00DD2510" w:rsidP="002E0119">
      <w:pPr>
        <w:pStyle w:val="Tekstpodstawowy"/>
        <w:spacing w:after="0" w:line="360" w:lineRule="atLeast"/>
        <w:ind w:left="330"/>
        <w:jc w:val="both"/>
      </w:pPr>
      <w:r w:rsidRPr="00402325">
        <w:t>5)       Zespole Domowej Opieki Paliatywnej.</w:t>
      </w:r>
    </w:p>
    <w:p w14:paraId="3230D567" w14:textId="77777777" w:rsidR="00DD2510" w:rsidRDefault="00DD2510" w:rsidP="002E0119">
      <w:pPr>
        <w:pStyle w:val="Tekstpodstawowy"/>
        <w:spacing w:after="0" w:line="360" w:lineRule="atLeast"/>
        <w:ind w:left="330"/>
        <w:jc w:val="both"/>
      </w:pPr>
    </w:p>
    <w:p w14:paraId="16779907" w14:textId="77777777" w:rsidR="00DD2510" w:rsidRPr="00402325" w:rsidRDefault="00DD2510" w:rsidP="00812C39">
      <w:pPr>
        <w:pStyle w:val="Tekstpodstawowy"/>
        <w:spacing w:after="0" w:line="360" w:lineRule="atLeast"/>
        <w:ind w:left="330"/>
        <w:jc w:val="both"/>
      </w:pPr>
      <w:r w:rsidRPr="00402325">
        <w:t>W Szpitalu działa  również: Zakład Rehabilitacji, Pracownia Diagnostyki Laboratoryjnej, Zakład Diagnostyki z Pracowniami: Diagnostyki Obrazowej, Badań Czynnościowych oraz Pracownią  Badań  Endoskopowych.</w:t>
      </w:r>
    </w:p>
    <w:p w14:paraId="05365566" w14:textId="77777777" w:rsidR="00DD2510" w:rsidRPr="00402325" w:rsidRDefault="00DD2510" w:rsidP="00812C39">
      <w:pPr>
        <w:pStyle w:val="Tekstpodstawowy"/>
        <w:spacing w:after="0" w:line="360" w:lineRule="atLeast"/>
        <w:ind w:left="330"/>
        <w:jc w:val="both"/>
      </w:pPr>
      <w:r w:rsidRPr="00402325">
        <w:t>Struktura Szpitala jest więc już dostosowana do aktualnych oczekiwań i potrzeb kompleksowej opieki nad pacjentem poprzez funkcjonowanie od wielu lat obok oddziałów szpitalnych (w tym oddziałów rehabilitacyjnych), poradni specjalistycznych, zapewniając ciągłość opieki nad pacjentem, co jest zgodne z głównym założeniem systemu podstawowego szpitalnego zabezpieczenia św</w:t>
      </w:r>
      <w:r>
        <w:t>iadczeń opieki zdrowotnej „PSZ”.</w:t>
      </w:r>
    </w:p>
    <w:p w14:paraId="1076D1D8" w14:textId="77777777" w:rsidR="00DD2510" w:rsidRDefault="00DD2510" w:rsidP="00812C39">
      <w:pPr>
        <w:pStyle w:val="Tekstpodstawowy"/>
        <w:spacing w:after="0" w:line="360" w:lineRule="atLeast"/>
        <w:ind w:left="330" w:firstLine="397"/>
        <w:jc w:val="both"/>
      </w:pPr>
    </w:p>
    <w:p w14:paraId="395D1041" w14:textId="77777777" w:rsidR="00DD2510" w:rsidRPr="00402325" w:rsidRDefault="00DD2510" w:rsidP="00812C39">
      <w:pPr>
        <w:pStyle w:val="Tekstpodstawowy"/>
        <w:spacing w:after="0" w:line="360" w:lineRule="atLeast"/>
        <w:ind w:left="330"/>
        <w:jc w:val="both"/>
      </w:pPr>
      <w:r w:rsidRPr="00402325">
        <w:t>Kontrakt n</w:t>
      </w:r>
      <w:r>
        <w:t>a świadczenia medyczne, Szpital</w:t>
      </w:r>
      <w:r w:rsidRPr="00402325">
        <w:t xml:space="preserve"> posiada od roku 1999, najpierw ze Śląską</w:t>
      </w:r>
      <w:r>
        <w:t xml:space="preserve"> </w:t>
      </w:r>
      <w:r w:rsidRPr="00402325">
        <w:t>Regionalna Kasą Chorych i Branżową Kasą Chorych, następnie z NFZ. Od 2008 roku</w:t>
      </w:r>
      <w:r>
        <w:t xml:space="preserve"> </w:t>
      </w:r>
      <w:r w:rsidRPr="00402325">
        <w:t>Szpital ma zakontraktowane świadczenia zdrowotne z zakresu  Izby  Przyjęć.</w:t>
      </w:r>
    </w:p>
    <w:p w14:paraId="42455DB6" w14:textId="77777777" w:rsidR="00DD2510" w:rsidRPr="00402325" w:rsidRDefault="00DD2510" w:rsidP="00812C39">
      <w:pPr>
        <w:pStyle w:val="Tekstpodstawowy"/>
        <w:spacing w:after="0" w:line="360" w:lineRule="atLeast"/>
        <w:ind w:left="330"/>
        <w:jc w:val="both"/>
      </w:pPr>
    </w:p>
    <w:p w14:paraId="7A28EF9F" w14:textId="77777777" w:rsidR="00DD2510" w:rsidRPr="00402325" w:rsidRDefault="00DD2510" w:rsidP="00812C39">
      <w:pPr>
        <w:pStyle w:val="Tekstpodstawowy"/>
        <w:spacing w:after="0" w:line="360" w:lineRule="atLeast"/>
        <w:ind w:left="330"/>
        <w:jc w:val="both"/>
      </w:pPr>
      <w:r w:rsidRPr="00402325">
        <w:t xml:space="preserve">Szpital  posiada  również  akredytację  na  prowadzenie: </w:t>
      </w:r>
    </w:p>
    <w:p w14:paraId="0F7DA52B" w14:textId="737527CE" w:rsidR="00DD2510" w:rsidRDefault="00DD2510" w:rsidP="00812C39">
      <w:pPr>
        <w:pStyle w:val="Tekstpodstawowy"/>
        <w:spacing w:after="0" w:line="360" w:lineRule="atLeast"/>
        <w:ind w:left="330"/>
        <w:jc w:val="both"/>
      </w:pPr>
      <w:r w:rsidRPr="00402325">
        <w:t>- specjalizacji w oddziałach: Wewnętrznym, Pu</w:t>
      </w:r>
      <w:r>
        <w:t>lmonologicznym,</w:t>
      </w:r>
    </w:p>
    <w:p w14:paraId="62362694" w14:textId="77777777" w:rsidR="00DD2510" w:rsidRPr="00402325" w:rsidRDefault="00DD2510" w:rsidP="00812C39">
      <w:pPr>
        <w:pStyle w:val="Tekstpodstawowy"/>
        <w:spacing w:after="0" w:line="360" w:lineRule="atLeast"/>
        <w:ind w:left="330"/>
        <w:jc w:val="both"/>
      </w:pPr>
      <w:r w:rsidRPr="00402325">
        <w:t>Rehabilitacji  Ogólnoustrojowej  oraz</w:t>
      </w:r>
    </w:p>
    <w:p w14:paraId="5272F24D" w14:textId="34F877E0" w:rsidR="00DD2510" w:rsidRPr="00402325" w:rsidRDefault="00DD2510" w:rsidP="00812C39">
      <w:pPr>
        <w:pStyle w:val="Tekstpodstawowy"/>
        <w:spacing w:after="0" w:line="360" w:lineRule="atLeast"/>
        <w:ind w:left="330"/>
        <w:jc w:val="both"/>
      </w:pPr>
      <w:r w:rsidRPr="00402325">
        <w:t>- staży kierunkowych dla lekarzy w oddziałach:</w:t>
      </w:r>
      <w:r w:rsidR="007054FA">
        <w:t xml:space="preserve"> Wewnętrznym</w:t>
      </w:r>
      <w:r>
        <w:t xml:space="preserve">, </w:t>
      </w:r>
      <w:r w:rsidRPr="00402325">
        <w:t xml:space="preserve">Pulmonologicznym  i  Opieki Paliatywnej. </w:t>
      </w:r>
    </w:p>
    <w:p w14:paraId="1EC65B73" w14:textId="77777777" w:rsidR="00DD2510" w:rsidRPr="00402325" w:rsidRDefault="00DD2510" w:rsidP="00812C39">
      <w:pPr>
        <w:pStyle w:val="Tekstpodstawowy"/>
        <w:spacing w:after="0" w:line="360" w:lineRule="atLeast"/>
        <w:ind w:left="330"/>
        <w:jc w:val="both"/>
      </w:pPr>
    </w:p>
    <w:p w14:paraId="3AAF1EB3" w14:textId="77777777" w:rsidR="00DD2510" w:rsidRDefault="00DD2510" w:rsidP="00812C39">
      <w:pPr>
        <w:pStyle w:val="Tekstpodstawowy"/>
        <w:spacing w:after="0" w:line="360" w:lineRule="atLeast"/>
        <w:ind w:left="330"/>
        <w:jc w:val="both"/>
      </w:pPr>
      <w:r>
        <w:t>Ponadto o</w:t>
      </w:r>
      <w:r w:rsidRPr="00402325">
        <w:t>d  wielu lat współpracuje z Wydziałem Nauk o Zdrowiu, Akademii Techniczno-Humanistycznej w Bielsku-Białej, w zakresie kształcenia pielęgniarek i ratowników  medycznych.</w:t>
      </w:r>
    </w:p>
    <w:p w14:paraId="6B397D49" w14:textId="77777777" w:rsidR="00DD2510" w:rsidRDefault="00DD2510" w:rsidP="00812C39">
      <w:pPr>
        <w:pStyle w:val="Tekstpodstawowy"/>
        <w:spacing w:after="0" w:line="360" w:lineRule="atLeast"/>
        <w:ind w:left="330" w:hanging="330"/>
        <w:jc w:val="both"/>
      </w:pPr>
      <w:r>
        <w:tab/>
      </w:r>
      <w:r w:rsidRPr="00402325">
        <w:t>Działalność Szpitala, jako szpitala wielospecjalistycznego,</w:t>
      </w:r>
      <w:r>
        <w:t xml:space="preserve"> wpisuje się również w aktualne</w:t>
      </w:r>
    </w:p>
    <w:p w14:paraId="17884592" w14:textId="77777777" w:rsidR="00DD2510" w:rsidRPr="00402325" w:rsidRDefault="00DD2510" w:rsidP="00812C39">
      <w:pPr>
        <w:pStyle w:val="Tekstpodstawowy"/>
        <w:spacing w:after="0" w:line="360" w:lineRule="atLeast"/>
        <w:ind w:left="330" w:hanging="330"/>
        <w:jc w:val="both"/>
      </w:pPr>
      <w:r w:rsidRPr="00402325">
        <w:t>priorytety zdrowotne dla Województwa Śląskiego.</w:t>
      </w:r>
    </w:p>
    <w:p w14:paraId="61E1A2D1" w14:textId="77777777" w:rsidR="00DD2510" w:rsidRDefault="00DD2510" w:rsidP="00812C39">
      <w:pPr>
        <w:pStyle w:val="Tekstpodstawowy"/>
        <w:spacing w:after="0" w:line="360" w:lineRule="atLeast"/>
        <w:ind w:hanging="330"/>
        <w:jc w:val="both"/>
      </w:pPr>
      <w:r>
        <w:tab/>
      </w:r>
      <w:r w:rsidRPr="00402325">
        <w:t xml:space="preserve">Przeprowadzona w ostatnich latach głęboka restrukturyzacja, polegająca zarówno na dostosowaniu  profilu leczenia do potrzeb pacjentów, jak i na zmniejszeniu zatrudnienia, pozwoliła na poprawę sytuacji finansowej Szpitala. Obecna załoga to świetnie wykształcona                              i oddana swojej pracy kadra medyczna, wsparta przez zespół profesjonalnych pracowników niemedycznych. Szpital zachowuje najwyższe standardy leczenia, czego dowodem jest to, iż od </w:t>
      </w:r>
      <w:r w:rsidRPr="00F04270">
        <w:t>roku  2011  do  roku  2017  posiadał</w:t>
      </w:r>
      <w:r>
        <w:t xml:space="preserve">  Certyfikat  ISO 9001:2008, w lipcu 2018 roku uzyskał</w:t>
      </w:r>
      <w:r w:rsidRPr="00F04270">
        <w:t xml:space="preserve"> certyfikat  ISO</w:t>
      </w:r>
      <w:r>
        <w:t xml:space="preserve"> 9001-2015  na  lata  2018-2021, który 01.10.2021r. został przedłużony do 30.09.2024 roku.</w:t>
      </w:r>
    </w:p>
    <w:p w14:paraId="28300F48" w14:textId="77777777" w:rsidR="00DD2510" w:rsidRPr="00760DBB" w:rsidRDefault="00DD2510" w:rsidP="001D5677">
      <w:pPr>
        <w:spacing w:line="360" w:lineRule="atLeast"/>
        <w:ind w:firstLine="708"/>
        <w:jc w:val="both"/>
      </w:pPr>
      <w:r w:rsidRPr="00E9424F">
        <w:lastRenderedPageBreak/>
        <w:t>Wyzwaniem dla podmiotu będzie realizacja ustawy o modernizacji i poprawie efektywności lecznictwa oraz ewentualna zmiana profilu działalności naszego szpital</w:t>
      </w:r>
      <w:r>
        <w:t>a</w:t>
      </w:r>
      <w:r w:rsidRPr="00E9424F">
        <w:t>.</w:t>
      </w:r>
    </w:p>
    <w:p w14:paraId="56C71173" w14:textId="77777777" w:rsidR="00DD2510" w:rsidRPr="00402325" w:rsidRDefault="00DD2510" w:rsidP="00812C39">
      <w:pPr>
        <w:pStyle w:val="Tekstpodstawowy"/>
        <w:spacing w:after="0" w:line="360" w:lineRule="atLeast"/>
        <w:ind w:hanging="330"/>
        <w:jc w:val="both"/>
      </w:pPr>
    </w:p>
    <w:p w14:paraId="2DF54FE1" w14:textId="77777777" w:rsidR="00DD2510" w:rsidRPr="00402325" w:rsidRDefault="00DD2510" w:rsidP="00760DBB">
      <w:pPr>
        <w:spacing w:line="360" w:lineRule="atLeast"/>
        <w:jc w:val="both"/>
      </w:pPr>
    </w:p>
    <w:p w14:paraId="3706422E" w14:textId="77777777" w:rsidR="00DD2510" w:rsidRDefault="00DD2510" w:rsidP="00F6537F">
      <w:pPr>
        <w:pStyle w:val="Nagwek2"/>
        <w:framePr w:wrap="auto"/>
      </w:pPr>
      <w:bookmarkStart w:id="37" w:name="_Toc132708841"/>
      <w:r>
        <w:t>Regulacje płacowe</w:t>
      </w:r>
      <w:bookmarkEnd w:id="37"/>
      <w:r w:rsidRPr="00714078">
        <w:t xml:space="preserve"> </w:t>
      </w:r>
    </w:p>
    <w:p w14:paraId="0625B794" w14:textId="77777777" w:rsidR="00DD2510" w:rsidRPr="00D452AE" w:rsidRDefault="00DD2510" w:rsidP="00760DBB">
      <w:pPr>
        <w:spacing w:line="360" w:lineRule="atLeast"/>
        <w:jc w:val="both"/>
        <w:rPr>
          <w:b/>
          <w:bCs/>
        </w:rPr>
      </w:pPr>
    </w:p>
    <w:p w14:paraId="70006C93" w14:textId="77777777" w:rsidR="00DD2510" w:rsidRPr="00760DBB" w:rsidRDefault="00DD2510" w:rsidP="00760DBB">
      <w:pPr>
        <w:spacing w:line="360" w:lineRule="atLeast"/>
        <w:ind w:firstLine="708"/>
        <w:jc w:val="both"/>
      </w:pPr>
      <w:r w:rsidRPr="00760DBB">
        <w:t>-</w:t>
      </w:r>
      <w:r>
        <w:t xml:space="preserve"> porozumienie </w:t>
      </w:r>
      <w:r w:rsidRPr="00760DBB">
        <w:t xml:space="preserve">z dnia 18 października 2019 r. w zakresie rozdziałów środków na wynagrodzenia grupy zawodowej pielęgniarek i położnych przekazanych przez NFZ w wykonaniu zarządzenia Nr 122/2019/DSOZ Prezesa NFZ z dnia 18 września 2019 r. zmieniającego zarządzenie w sprawie szczegółowych warunków wypłaty należności i rozliczania kwoty zobowiązania wynikającego z postanowień rozporządzenia zmieniającego rozporządzenie w sprawie ogólnych warunków umów. </w:t>
      </w:r>
    </w:p>
    <w:p w14:paraId="5B522C00" w14:textId="77777777" w:rsidR="00DD2510" w:rsidRPr="00760DBB" w:rsidRDefault="00DD2510" w:rsidP="00760DBB">
      <w:pPr>
        <w:spacing w:line="360" w:lineRule="atLeast"/>
        <w:ind w:firstLine="708"/>
        <w:jc w:val="both"/>
      </w:pPr>
      <w:r w:rsidRPr="00760DBB">
        <w:t>- porozumienie z dnia 5 marca 2019 r. w zakresie podwyższenia wynagrodzeń zasadniczych pracowników SPZOZ Szpitala Kolejowego w Wilkowicach – Bystrej.</w:t>
      </w:r>
    </w:p>
    <w:p w14:paraId="7A6EEBB7" w14:textId="77777777" w:rsidR="00DD2510" w:rsidRPr="00760DBB" w:rsidRDefault="00DD2510" w:rsidP="00760DBB">
      <w:pPr>
        <w:spacing w:line="360" w:lineRule="atLeast"/>
        <w:ind w:firstLine="709"/>
        <w:jc w:val="both"/>
      </w:pPr>
      <w:r w:rsidRPr="00760DBB">
        <w:t>- Rozporządzenie Rady Ministrów z dnia 15 września 2020 r. w sprawie minimalnego wynagrodzenia za pracę oraz wysokości minimalnej stawki godzinowej w 2021 r. obowiązujące od 01.01.2021 r.</w:t>
      </w:r>
    </w:p>
    <w:p w14:paraId="0C55C505" w14:textId="04592499" w:rsidR="00DD2510" w:rsidRPr="00760DBB" w:rsidRDefault="00DD2510" w:rsidP="00760DBB">
      <w:pPr>
        <w:spacing w:line="360" w:lineRule="atLeast"/>
        <w:ind w:firstLine="708"/>
        <w:jc w:val="both"/>
      </w:pPr>
      <w:r w:rsidRPr="00760DBB">
        <w:t xml:space="preserve">- Ustawa z dn. 08.06.2017 r. o sposobie ustalania najniższego wynagrodzenia zasadniczego niektórych pracowników zatrudnionych w podmiotach leczniczych. </w:t>
      </w:r>
      <w:r w:rsidR="007F511D">
        <w:t>z</w:t>
      </w:r>
      <w:r w:rsidRPr="00760DBB">
        <w:t xml:space="preserve">godnie z art. 7 ustawy, minimalne wynagrodzenie w podmiotach leczniczych określane będzie z uwzględnieniem kwoty określonej w komunikacie Prezesa GUS od 01 lipca 2021 roku podwyżki będą obliczane od kwoty 5 167,47 zł. </w:t>
      </w:r>
    </w:p>
    <w:p w14:paraId="46124C8D" w14:textId="124E85F4" w:rsidR="00E95E17" w:rsidRPr="00E95E17" w:rsidRDefault="007F511D" w:rsidP="007F511D">
      <w:pPr>
        <w:spacing w:line="360" w:lineRule="atLeast"/>
        <w:ind w:firstLine="708"/>
        <w:jc w:val="both"/>
      </w:pPr>
      <w:r>
        <w:t>-</w:t>
      </w:r>
      <w:r w:rsidRPr="007F511D">
        <w:t xml:space="preserve"> Ustaw</w:t>
      </w:r>
      <w:r>
        <w:t>a</w:t>
      </w:r>
      <w:r w:rsidRPr="007F511D">
        <w:t xml:space="preserve"> z dnia 26 maja 2022r o zmianie ustawy  o sposobie ustalania najniższego wynagrodzenia zasadniczego niektórych pracowników zatrudnionych w podmiotach leczniczych oraz niektórych innych ustaw (Dz. U. z 2022r. poz. 1322)</w:t>
      </w:r>
      <w:bookmarkStart w:id="38" w:name="_Hlk109128287"/>
      <w:r>
        <w:t>,</w:t>
      </w:r>
      <w:r w:rsidRPr="007F511D">
        <w:t xml:space="preserve"> </w:t>
      </w:r>
      <w:r>
        <w:t xml:space="preserve">(nowelizacja  ww. </w:t>
      </w:r>
      <w:r w:rsidRPr="007F511D">
        <w:t>Ustawy z dnia 08 czerwca 2017r. o sposobie ustalania najniższego wynagrodzenia zasadniczego niektórych pracowników zatrudnionych w podmiotach leczniczych</w:t>
      </w:r>
      <w:r>
        <w:t>).</w:t>
      </w:r>
      <w:r w:rsidRPr="007F511D">
        <w:t xml:space="preserve"> </w:t>
      </w:r>
    </w:p>
    <w:bookmarkEnd w:id="38"/>
    <w:p w14:paraId="68AD9BBF" w14:textId="77777777" w:rsidR="00DD2510" w:rsidRPr="00760DBB" w:rsidRDefault="00DD2510" w:rsidP="00E11A57">
      <w:pPr>
        <w:spacing w:line="360" w:lineRule="atLeast"/>
        <w:jc w:val="both"/>
      </w:pPr>
    </w:p>
    <w:p w14:paraId="673CDFC0" w14:textId="77777777" w:rsidR="00DD2510" w:rsidRDefault="00DD2510" w:rsidP="002E0119">
      <w:pPr>
        <w:pStyle w:val="Nagwek2"/>
        <w:framePr w:wrap="auto"/>
      </w:pPr>
      <w:bookmarkStart w:id="39" w:name="_Toc132708842"/>
      <w:r w:rsidRPr="00760DBB">
        <w:t>Wzrost kosztów w wyniku COVID-19</w:t>
      </w:r>
      <w:bookmarkEnd w:id="39"/>
    </w:p>
    <w:p w14:paraId="2560C223" w14:textId="77777777" w:rsidR="00DD2510" w:rsidRPr="002E0119" w:rsidRDefault="00DD2510" w:rsidP="002E0119"/>
    <w:p w14:paraId="0C047616" w14:textId="22E8611A" w:rsidR="00DD2510" w:rsidRDefault="00DD2510" w:rsidP="00E75D6F">
      <w:pPr>
        <w:spacing w:line="360" w:lineRule="atLeast"/>
        <w:ind w:firstLine="709"/>
        <w:jc w:val="both"/>
      </w:pPr>
      <w:r w:rsidRPr="00760DBB">
        <w:t xml:space="preserve">Wzrosły koszty w wysokości </w:t>
      </w:r>
      <w:r w:rsidR="006200B0">
        <w:rPr>
          <w:rFonts w:ascii="Arial" w:hAnsi="Arial" w:cs="Arial"/>
          <w:b/>
          <w:bCs/>
          <w:sz w:val="22"/>
          <w:szCs w:val="22"/>
        </w:rPr>
        <w:t>253 320,75</w:t>
      </w:r>
      <w:r>
        <w:rPr>
          <w:rFonts w:ascii="Arial" w:hAnsi="Arial" w:cs="Arial"/>
          <w:b/>
          <w:bCs/>
          <w:sz w:val="22"/>
          <w:szCs w:val="22"/>
        </w:rPr>
        <w:t xml:space="preserve"> </w:t>
      </w:r>
      <w:r w:rsidRPr="00E75D6F">
        <w:rPr>
          <w:b/>
          <w:bCs/>
        </w:rPr>
        <w:t>zł</w:t>
      </w:r>
      <w:r w:rsidRPr="00760DBB">
        <w:t>, które zostały poniesione dodatkowo z własnych środków  z tytułu zapobiegania i zwalczania pandemii wywołanej Covid-19 r.</w:t>
      </w:r>
      <w:r w:rsidR="006200B0">
        <w:t xml:space="preserve"> w 1 kw. 2022 r.</w:t>
      </w:r>
      <w:r w:rsidRPr="00760DBB">
        <w:t xml:space="preserve">, w szczególności wzrosły wynagrodzenia w wyniku powstałych nadgodzin spowodowanych brakiem personelu (przede wszystkim pielęgniarek) koszty zakupu sprzętu bądź dostosowanie pomieszczeń oraz zużycia materiałów. </w:t>
      </w:r>
    </w:p>
    <w:p w14:paraId="3285FB53" w14:textId="77777777" w:rsidR="00DD2510" w:rsidRPr="005A6A67" w:rsidRDefault="00DD2510" w:rsidP="005B1A6F">
      <w:pPr>
        <w:spacing w:line="360" w:lineRule="atLeast"/>
        <w:jc w:val="both"/>
        <w:rPr>
          <w:b/>
          <w:bCs/>
          <w:highlight w:val="green"/>
        </w:rPr>
      </w:pPr>
    </w:p>
    <w:p w14:paraId="59076668" w14:textId="77777777" w:rsidR="00DD2510" w:rsidRDefault="00DD2510" w:rsidP="00676FFA">
      <w:pPr>
        <w:pStyle w:val="Nagwek2"/>
        <w:framePr w:wrap="auto"/>
      </w:pPr>
      <w:bookmarkStart w:id="40" w:name="_Toc132708843"/>
      <w:r w:rsidRPr="001C5A88">
        <w:t>Wskaźniki makroekonomiczne</w:t>
      </w:r>
      <w:bookmarkEnd w:id="40"/>
      <w:r w:rsidRPr="001C5A88">
        <w:t xml:space="preserve"> </w:t>
      </w:r>
    </w:p>
    <w:p w14:paraId="0BF09A06" w14:textId="77777777" w:rsidR="00DD2510" w:rsidRPr="00676FFA" w:rsidRDefault="00DD2510" w:rsidP="00676FFA"/>
    <w:p w14:paraId="28517D6C" w14:textId="1B7B8BE7" w:rsidR="00DD2510" w:rsidRPr="00897E3D" w:rsidRDefault="00DD2510" w:rsidP="00EA0DC9">
      <w:pPr>
        <w:spacing w:line="360" w:lineRule="atLeast"/>
        <w:ind w:firstLine="567"/>
        <w:jc w:val="both"/>
      </w:pPr>
      <w:r w:rsidRPr="00897E3D">
        <w:t>Zgodnie z art. 104 ust. 1 pkt 2 ustawy o finansach publicznych, Wieloletni Plan Finansowy Państwa na lata 2022-202</w:t>
      </w:r>
      <w:r w:rsidR="009B5DCF" w:rsidRPr="00897E3D">
        <w:t>5</w:t>
      </w:r>
      <w:r w:rsidRPr="00897E3D">
        <w:t xml:space="preserve"> (dalej jako „WPFP 2022-2025”) określa cele wraz z </w:t>
      </w:r>
      <w:r w:rsidRPr="00897E3D">
        <w:lastRenderedPageBreak/>
        <w:t xml:space="preserve">miernikami stopnia ich realizacji, w układzie obejmującym główne funkcje państwa. Odniesienie dla celów WPFP 2022-2025 stanowi przede wszystkim główna strategia rozwoju, określająca podstawowe ramy programowe dla polityki rozwoju, tj. uwarunkowania, cele i kierunki rozwoju kraju w wymiarze społecznym, gospodarczym, regionalnym oraz przestrzennym. </w:t>
      </w:r>
      <w:r w:rsidR="00F308E0" w:rsidRPr="00897E3D">
        <w:t xml:space="preserve">Jednostka oparła się na Wieloletnim Planie Finansowy Państwa na lata 2022-2025 oraz na podstawie bieżących wytycznych dotyczących stosowania jednolitych wskaźników makroekonomicznych, ponieważ na dzień sporządzania raportu nie było jeszcze opublikowanego </w:t>
      </w:r>
      <w:r w:rsidR="00135C84">
        <w:t>Wieloletniego P</w:t>
      </w:r>
      <w:r w:rsidR="00F308E0" w:rsidRPr="00897E3D">
        <w:t>lanu</w:t>
      </w:r>
      <w:r w:rsidR="00135C84">
        <w:t xml:space="preserve"> Finansowego Państwa</w:t>
      </w:r>
      <w:r w:rsidR="00F308E0" w:rsidRPr="00897E3D">
        <w:t xml:space="preserve"> na lata 2023-2026. </w:t>
      </w:r>
    </w:p>
    <w:p w14:paraId="2CD0D653" w14:textId="005B8AC7" w:rsidR="00304CBE" w:rsidRPr="00897E3D" w:rsidRDefault="00304CBE" w:rsidP="00897E3D">
      <w:pPr>
        <w:spacing w:line="360" w:lineRule="atLeast"/>
        <w:ind w:firstLine="567"/>
        <w:jc w:val="both"/>
      </w:pPr>
      <w:r w:rsidRPr="00897E3D">
        <w:t xml:space="preserve">Polska gospodarka na przestrzeni 2022 r. wyraźnie hamowała, a mimo to w całym roku produkt krajowy brutto zwiększył się o 4,9 proc. To wynik nawet lepszy niż ekonomiści przewidywali pod koniec 2021 r., przed wybuchem wojny w Ukrainie. </w:t>
      </w:r>
      <w:r w:rsidR="00F308E0" w:rsidRPr="00897E3D">
        <w:t xml:space="preserve"> </w:t>
      </w:r>
      <w:r w:rsidRPr="00897E3D">
        <w:t>Ten wynik nie jest dużym zaskoczeniem w świetle publikowanych danych</w:t>
      </w:r>
      <w:r w:rsidR="00897E3D">
        <w:t xml:space="preserve"> na dzień sporządzenia raportu</w:t>
      </w:r>
      <w:r w:rsidRPr="00897E3D">
        <w:t>, dotyczących koniunktury w ostatnich miesiącach ub.r., ale jest nieco lepszy niż ekonomiści oczekiwali przez większą część minionego.</w:t>
      </w:r>
    </w:p>
    <w:p w14:paraId="62BB07D7" w14:textId="77777777" w:rsidR="00304CBE" w:rsidRPr="00897E3D" w:rsidRDefault="00304CBE" w:rsidP="00897E3D">
      <w:pPr>
        <w:spacing w:line="360" w:lineRule="atLeast"/>
        <w:ind w:firstLine="567"/>
        <w:jc w:val="both"/>
      </w:pPr>
      <w:r w:rsidRPr="00897E3D">
        <w:t>U progu 2022 r. ankietowani przez „Parkiet” i „Rzeczpospolitą” ekonomiści przeciętnie spodziewali się zwyżki PKB o 4,5 proc. Pod koniec marca, już po rosyjskiej agresji na Ukrainę, ale też po pierwszych sygnałach, że natychmiastowego załamania aktywności w polskiej gospodarce nie było, prognozy wzrostu PKB w całym 2022 r. zostały zrewidowane w okolice 3,5 proc. Później stopniowo wracały do 4,5 proc.</w:t>
      </w:r>
    </w:p>
    <w:p w14:paraId="347B8756" w14:textId="77777777" w:rsidR="00304CBE" w:rsidRPr="00897E3D" w:rsidRDefault="00304CBE" w:rsidP="00897E3D">
      <w:pPr>
        <w:spacing w:line="360" w:lineRule="atLeast"/>
        <w:ind w:firstLine="567"/>
        <w:jc w:val="both"/>
      </w:pPr>
      <w:r w:rsidRPr="00897E3D">
        <w:t>Warto jednak przypomnieć, że w grudniu 2021 r., gdy ekonomiści spodziewali się zwyżki PKB w 2022 r. o 4,5 proc., punktem wyjścia były szacunki, wedle których w 2021 r. aktywność w polskiej gospodarce zwiększyła się o 5,4 proc. W praktyce więc spodziewali się tylko lekkiego wyhamowania wzrostu gospodarczego. Ostatecznie jednak w 2021 r. PKB Polski podskoczył o 6,8 proc., w dużej mierze za sprawą bardzo udanej końcówki roku. To z kolei, za sprawą tzw. efektu przeniesienia, podwyższyło tempo wzrostu PKB w 2022 r. To tłumaczy dobry wynik pomimo tego, że gospodarka faktycznie mocno straciła impet.</w:t>
      </w:r>
    </w:p>
    <w:p w14:paraId="6FFF9CA2" w14:textId="01AF7188" w:rsidR="00F308E0" w:rsidRPr="00897E3D" w:rsidRDefault="00000000" w:rsidP="00897E3D">
      <w:pPr>
        <w:spacing w:line="360" w:lineRule="atLeast"/>
        <w:ind w:firstLine="567"/>
        <w:jc w:val="both"/>
      </w:pPr>
      <w:hyperlink r:id="rId17" w:history="1">
        <w:r w:rsidR="00F308E0" w:rsidRPr="00897E3D">
          <w:t>Komisja Europejska</w:t>
        </w:r>
      </w:hyperlink>
      <w:r w:rsidR="00F308E0" w:rsidRPr="00897E3D">
        <w:t xml:space="preserve"> ocenia, że wzrost PKB w Polsce ma znacząco spowolnić w latach 2023 i 2024, ze spadkiem wskaźnika na początku 2023 roku. Głównym czynnikiem pogorszenia w najbliższych kwartałach będzie odwrócenie cyklu zapasów. Słabe nastroje, rosnąca presja kosztowa i rosnące koszty finansowania będą ciążyć na wzroście prywatnych inwestycji, zwłaszcza w budownictwie.</w:t>
      </w:r>
    </w:p>
    <w:p w14:paraId="3C28D72E" w14:textId="77777777" w:rsidR="00F308E0" w:rsidRPr="00F308E0" w:rsidRDefault="00F308E0" w:rsidP="00897E3D">
      <w:pPr>
        <w:spacing w:line="360" w:lineRule="atLeast"/>
        <w:ind w:firstLine="567"/>
        <w:jc w:val="both"/>
      </w:pPr>
      <w:r w:rsidRPr="00F308E0">
        <w:t>Z kolei publiczne wydatki na obronę i inwestycje rządowe powinny więcej niż zrównoważyć spadek wydatków inwestycyjnych sektora prywatnego, co spowoduje, że łączne wydatki inwestycyjne w 2023 roku będą dodatnie.</w:t>
      </w:r>
    </w:p>
    <w:p w14:paraId="2ADCB5AC" w14:textId="42A3293A" w:rsidR="00DD2510" w:rsidRPr="00897E3D" w:rsidRDefault="00F308E0" w:rsidP="00304CBE">
      <w:pPr>
        <w:spacing w:line="360" w:lineRule="atLeast"/>
        <w:ind w:firstLine="567"/>
        <w:jc w:val="both"/>
      </w:pPr>
      <w:r w:rsidRPr="00897E3D">
        <w:t xml:space="preserve"> Pomimo </w:t>
      </w:r>
      <w:hyperlink r:id="rId18" w:history="1">
        <w:r w:rsidRPr="00897E3D">
          <w:t>rosnącej inflacji</w:t>
        </w:r>
      </w:hyperlink>
      <w:r w:rsidRPr="00897E3D">
        <w:t xml:space="preserve">, spożycie prywatne będzie się utrzymywało na wysokim poziomie dzięki znaczącej polityce wsparcia, niskiemu bezrobociu i napływowi imigrantów z Ukrainy. </w:t>
      </w:r>
    </w:p>
    <w:p w14:paraId="703247EC" w14:textId="77777777" w:rsidR="00DD2510" w:rsidRPr="00C03A94" w:rsidRDefault="00DD2510" w:rsidP="00C03A94">
      <w:pPr>
        <w:suppressAutoHyphens w:val="0"/>
        <w:spacing w:line="360" w:lineRule="atLeast"/>
        <w:ind w:firstLine="426"/>
        <w:jc w:val="both"/>
        <w:rPr>
          <w:rFonts w:eastAsia="SimSun"/>
          <w:lang w:eastAsia="zh-CN"/>
        </w:rPr>
      </w:pPr>
      <w:r w:rsidRPr="00C03A94">
        <w:rPr>
          <w:rFonts w:eastAsia="SimSun"/>
          <w:lang w:eastAsia="zh-CN"/>
        </w:rPr>
        <w:t>Jednym z istotnych wymiarów rozwoju kapitału ludzkiego jest stan zdrowia i dostęp do usług z zakresu opieki zdrowotnej</w:t>
      </w:r>
      <w:r>
        <w:rPr>
          <w:rFonts w:eastAsia="SimSun"/>
          <w:lang w:eastAsia="zh-CN"/>
        </w:rPr>
        <w:t>,</w:t>
      </w:r>
      <w:r w:rsidRPr="00C03A94">
        <w:rPr>
          <w:rFonts w:eastAsia="SimSun"/>
          <w:lang w:eastAsia="zh-CN"/>
        </w:rPr>
        <w:t xml:space="preserve"> zwiększenie bezpieczeństwa zdrowotnego społeczeństwa poprzez zapewnienie trwałego dostępu do świadczeń opieki zdrowotnej, ze szczególnym </w:t>
      </w:r>
      <w:r w:rsidRPr="00C03A94">
        <w:rPr>
          <w:rFonts w:eastAsia="SimSun"/>
          <w:lang w:eastAsia="zh-CN"/>
        </w:rPr>
        <w:lastRenderedPageBreak/>
        <w:t>uwzględnieniem świadczeń ratujących życie.</w:t>
      </w:r>
      <w:r>
        <w:rPr>
          <w:rFonts w:eastAsia="SimSun"/>
          <w:lang w:eastAsia="zh-CN"/>
        </w:rPr>
        <w:t xml:space="preserve"> </w:t>
      </w:r>
      <w:r w:rsidRPr="00C03A94">
        <w:rPr>
          <w:rFonts w:eastAsia="SimSun"/>
          <w:lang w:eastAsia="zh-CN"/>
        </w:rPr>
        <w:t>Dobry stan zdrowia obywateli i całego społeczeństwa jest istotną determinantą wzrostu gospodarczego, a interwencje w dziedzinie zdrowia są kluczowe w ograniczaniu ryzyka ubóstwa z powodu dezaktywacji zawodowej wynikającej z przyczyn zdrowotnych.</w:t>
      </w:r>
      <w:r>
        <w:rPr>
          <w:rFonts w:eastAsia="SimSun"/>
          <w:lang w:eastAsia="zh-CN"/>
        </w:rPr>
        <w:t xml:space="preserve"> </w:t>
      </w:r>
      <w:r w:rsidRPr="00C03A94">
        <w:rPr>
          <w:rFonts w:eastAsia="SimSun"/>
          <w:lang w:eastAsia="zh-CN"/>
        </w:rPr>
        <w:t>W tym obszarze realizowane będą działania zwiększające dostępność leczenia, tak aby każdy obywatel otrzymał pomoc medyczną w sposób szybki i pozwalający na utrzymanie obywateli w poczuciu bezpieczeństwa.</w:t>
      </w:r>
    </w:p>
    <w:p w14:paraId="53FE0AAA" w14:textId="77777777" w:rsidR="00DD2510" w:rsidRDefault="00DD2510" w:rsidP="00C03A94">
      <w:pPr>
        <w:suppressAutoHyphens w:val="0"/>
        <w:autoSpaceDE w:val="0"/>
        <w:autoSpaceDN w:val="0"/>
        <w:spacing w:line="360" w:lineRule="atLeast"/>
        <w:ind w:firstLine="426"/>
        <w:jc w:val="both"/>
        <w:rPr>
          <w:rFonts w:eastAsia="SimSun"/>
          <w:lang w:eastAsia="zh-CN"/>
        </w:rPr>
      </w:pPr>
      <w:r w:rsidRPr="00C03A94">
        <w:rPr>
          <w:rFonts w:eastAsia="SimSun"/>
          <w:lang w:eastAsia="zh-CN"/>
        </w:rPr>
        <w:t xml:space="preserve">W tym celu będą prowadzone prace zorientowane m.in. na stopniowy wzrost nakładów na ochronę zdrowia. Szczególne działania dotyczące zabezpieczenia zdrowia będą przeznaczone dla osób najczęściej korzystających z pomocy lekarskiej, a więc dla osób starszych. Ocena celowości inwestycji dokonywana przez Ministra Zdrowia pozwoli na rozwój infrastruktury w ochronie zdrowia zgodny z mapami potrzeb zdrowotnych oraz priorytetami dla regionalnej polityki zdrowotnej. Realizowane będą również działania w zakresie kształtowania zdrowego stylu życia poprzez profilaktykę oraz promocję zdrowia, a także edukację zdrowotną. Zapewnienie trwałego dostępu do świadczeń będzie się odbywało m.in. poprzez zwiększenie nakładów na ochronę zdrowia wynikające z ustawy z dnia 24 listopada 2017 r.  </w:t>
      </w:r>
      <w:r w:rsidRPr="00EF4105">
        <w:rPr>
          <w:rFonts w:eastAsia="SimSun"/>
          <w:lang w:eastAsia="zh-CN"/>
        </w:rPr>
        <w:t>o zmianie ustawy o świadczeniach opieki zdrowotnej finansowanych ze środków publicznych</w:t>
      </w:r>
      <w:r w:rsidRPr="00C03A94">
        <w:rPr>
          <w:rFonts w:eastAsia="SimSun"/>
          <w:lang w:eastAsia="zh-CN"/>
        </w:rPr>
        <w:t>.</w:t>
      </w:r>
    </w:p>
    <w:p w14:paraId="53EC052E" w14:textId="77777777" w:rsidR="00DD2510" w:rsidRPr="00EF4105" w:rsidRDefault="00DD2510" w:rsidP="00EF4105">
      <w:pPr>
        <w:widowControl w:val="0"/>
        <w:suppressAutoHyphens w:val="0"/>
        <w:spacing w:after="120" w:line="360" w:lineRule="atLeast"/>
        <w:jc w:val="both"/>
        <w:rPr>
          <w:rFonts w:eastAsia="SimSun"/>
          <w:lang w:eastAsia="zh-CN"/>
        </w:rPr>
      </w:pPr>
      <w:r w:rsidRPr="00EF4105">
        <w:rPr>
          <w:rFonts w:eastAsia="SimSun"/>
          <w:lang w:eastAsia="zh-CN"/>
        </w:rPr>
        <w:t>Stopień osiągnięcia celu funkcji będzie monitorowany za pomocą trzech mierników:</w:t>
      </w:r>
    </w:p>
    <w:p w14:paraId="208FA55B" w14:textId="61AE2960" w:rsidR="00DD2510" w:rsidRPr="00EF4105" w:rsidRDefault="00DD2510" w:rsidP="00EF4105">
      <w:pPr>
        <w:widowControl w:val="0"/>
        <w:numPr>
          <w:ilvl w:val="0"/>
          <w:numId w:val="9"/>
        </w:numPr>
        <w:tabs>
          <w:tab w:val="left" w:pos="380"/>
        </w:tabs>
        <w:suppressAutoHyphens w:val="0"/>
        <w:spacing w:after="120" w:line="360" w:lineRule="atLeast"/>
        <w:ind w:left="420" w:hanging="420"/>
        <w:jc w:val="both"/>
        <w:rPr>
          <w:rFonts w:eastAsia="SimSun"/>
          <w:lang w:eastAsia="zh-CN"/>
        </w:rPr>
      </w:pPr>
      <w:bookmarkStart w:id="41" w:name="bookmark197"/>
      <w:bookmarkEnd w:id="41"/>
      <w:r w:rsidRPr="00EF4105">
        <w:rPr>
          <w:rFonts w:eastAsia="SimSun"/>
          <w:lang w:eastAsia="zh-CN"/>
        </w:rPr>
        <w:t>liczba świadczeniobiorców objętych koordynowaną opieką onkologiczną (w os.), która w okresie planowania WPFP 2022-2025 wyniesie odpowiednio: 21 000 (2023 r.), 23 000 (2024 r.), 25 000 (2025 r.),</w:t>
      </w:r>
    </w:p>
    <w:p w14:paraId="41C76043" w14:textId="77777777" w:rsidR="00DD2510" w:rsidRPr="00EF4105" w:rsidRDefault="00DD2510" w:rsidP="00EF4105">
      <w:pPr>
        <w:widowControl w:val="0"/>
        <w:numPr>
          <w:ilvl w:val="0"/>
          <w:numId w:val="9"/>
        </w:numPr>
        <w:tabs>
          <w:tab w:val="left" w:pos="380"/>
        </w:tabs>
        <w:suppressAutoHyphens w:val="0"/>
        <w:spacing w:after="120" w:line="360" w:lineRule="atLeast"/>
        <w:ind w:left="420" w:hanging="420"/>
        <w:jc w:val="both"/>
        <w:rPr>
          <w:rFonts w:eastAsia="SimSun"/>
          <w:lang w:eastAsia="zh-CN"/>
        </w:rPr>
      </w:pPr>
      <w:bookmarkStart w:id="42" w:name="bookmark198"/>
      <w:bookmarkEnd w:id="42"/>
      <w:r w:rsidRPr="00EF4105">
        <w:rPr>
          <w:rFonts w:eastAsia="SimSun"/>
          <w:lang w:eastAsia="zh-CN"/>
        </w:rPr>
        <w:t xml:space="preserve">liczba jednostek </w:t>
      </w:r>
      <w:proofErr w:type="spellStart"/>
      <w:r w:rsidRPr="00EF4105">
        <w:rPr>
          <w:rFonts w:eastAsia="SimSun"/>
          <w:lang w:eastAsia="zh-CN"/>
        </w:rPr>
        <w:t>KKCz</w:t>
      </w:r>
      <w:proofErr w:type="spellEnd"/>
      <w:r w:rsidRPr="00EF4105">
        <w:rPr>
          <w:rFonts w:eastAsia="SimSun"/>
          <w:lang w:eastAsia="zh-CN"/>
        </w:rPr>
        <w:t xml:space="preserve"> (Koncentratu Krwinek Czerwonych) wydanych do lecznictwa (w szt.) w latach 2022-2025 będzie wynosiła 1 100 000 szt. w każdym roku,</w:t>
      </w:r>
    </w:p>
    <w:p w14:paraId="18C4B9C4" w14:textId="016BE24A" w:rsidR="00DD2510" w:rsidRPr="00EF4105" w:rsidRDefault="00DD2510" w:rsidP="00EF4105">
      <w:pPr>
        <w:widowControl w:val="0"/>
        <w:numPr>
          <w:ilvl w:val="0"/>
          <w:numId w:val="9"/>
        </w:numPr>
        <w:tabs>
          <w:tab w:val="left" w:pos="380"/>
        </w:tabs>
        <w:suppressAutoHyphens w:val="0"/>
        <w:spacing w:after="120" w:line="360" w:lineRule="atLeast"/>
        <w:ind w:left="420" w:hanging="420"/>
        <w:jc w:val="both"/>
        <w:rPr>
          <w:rFonts w:eastAsia="SimSun"/>
          <w:lang w:eastAsia="zh-CN"/>
        </w:rPr>
      </w:pPr>
      <w:bookmarkStart w:id="43" w:name="bookmark199"/>
      <w:bookmarkEnd w:id="43"/>
      <w:r w:rsidRPr="00EF4105">
        <w:rPr>
          <w:rFonts w:eastAsia="SimSun"/>
          <w:lang w:eastAsia="zh-CN"/>
        </w:rPr>
        <w:t xml:space="preserve">liczba przeprowadzonych postępowań rejestracyjnych w zakresie produktów leczniczych, wyrobów medycznych i produktów biobójczych (w szt.), których przewiduje się zrealizować </w:t>
      </w:r>
      <w:r w:rsidR="00897E3D">
        <w:rPr>
          <w:rFonts w:eastAsia="SimSun"/>
          <w:lang w:eastAsia="zh-CN"/>
        </w:rPr>
        <w:t>53 870</w:t>
      </w:r>
      <w:r w:rsidRPr="00EF4105">
        <w:rPr>
          <w:rFonts w:eastAsia="SimSun"/>
          <w:lang w:eastAsia="zh-CN"/>
        </w:rPr>
        <w:t xml:space="preserve"> szt. w roku 202</w:t>
      </w:r>
      <w:r w:rsidR="00897E3D">
        <w:rPr>
          <w:rFonts w:eastAsia="SimSun"/>
          <w:lang w:eastAsia="zh-CN"/>
        </w:rPr>
        <w:t xml:space="preserve">3, a w kolejnych </w:t>
      </w:r>
      <w:r w:rsidRPr="00EF4105">
        <w:rPr>
          <w:rFonts w:eastAsia="SimSun"/>
          <w:lang w:eastAsia="zh-CN"/>
        </w:rPr>
        <w:t>54 680 szt. (2024 r.) oraz 54 580 szt. (2025 r.).</w:t>
      </w:r>
    </w:p>
    <w:p w14:paraId="4E175C5C" w14:textId="77777777" w:rsidR="00DD2510" w:rsidRPr="005B3A45" w:rsidRDefault="00DD2510" w:rsidP="00EF4105">
      <w:pPr>
        <w:spacing w:line="360" w:lineRule="atLeast"/>
        <w:ind w:firstLine="567"/>
        <w:jc w:val="both"/>
        <w:rPr>
          <w:rFonts w:eastAsia="SimSun"/>
          <w:lang w:eastAsia="zh-CN"/>
        </w:rPr>
      </w:pPr>
    </w:p>
    <w:p w14:paraId="713F0C30" w14:textId="77777777" w:rsidR="00DD2510" w:rsidRPr="00C77D24" w:rsidRDefault="00DD2510" w:rsidP="00C77D24">
      <w:pPr>
        <w:spacing w:line="360" w:lineRule="atLeast"/>
        <w:ind w:firstLine="567"/>
        <w:jc w:val="both"/>
      </w:pPr>
    </w:p>
    <w:p w14:paraId="1AC37451" w14:textId="77777777" w:rsidR="00DD2510" w:rsidRDefault="00DD2510" w:rsidP="00C77D24">
      <w:pPr>
        <w:spacing w:line="360" w:lineRule="atLeast"/>
        <w:ind w:firstLine="567"/>
        <w:jc w:val="both"/>
      </w:pPr>
    </w:p>
    <w:p w14:paraId="57520A09" w14:textId="77777777" w:rsidR="00DD2510" w:rsidRPr="00323F30" w:rsidRDefault="00DD2510" w:rsidP="005B1A6F">
      <w:pPr>
        <w:jc w:val="both"/>
      </w:pPr>
    </w:p>
    <w:sectPr w:rsidR="00DD2510" w:rsidRPr="00323F30" w:rsidSect="00906F48">
      <w:footerReference w:type="default" r:id="rId19"/>
      <w:type w:val="continuous"/>
      <w:pgSz w:w="11906" w:h="16838" w:code="9"/>
      <w:pgMar w:top="1134" w:right="1134" w:bottom="1134"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C585" w14:textId="77777777" w:rsidR="00F5273F" w:rsidRDefault="00F5273F" w:rsidP="002D5C29">
      <w:pPr>
        <w:spacing w:line="240" w:lineRule="auto"/>
      </w:pPr>
      <w:r>
        <w:separator/>
      </w:r>
    </w:p>
  </w:endnote>
  <w:endnote w:type="continuationSeparator" w:id="0">
    <w:p w14:paraId="4225667F" w14:textId="77777777" w:rsidR="00F5273F" w:rsidRDefault="00F5273F" w:rsidP="002D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0499" w14:textId="77777777" w:rsidR="00DD2510" w:rsidRDefault="00DD2510" w:rsidP="00342588">
    <w:pPr>
      <w:pStyle w:val="Stopka"/>
      <w:framePr w:wrap="notBeside" w:vAnchor="text" w:hAnchor="page" w:x="1098" w:y="-568"/>
      <w:jc w:val="center"/>
    </w:pPr>
    <w:r>
      <w:fldChar w:fldCharType="begin"/>
    </w:r>
    <w:r>
      <w:instrText xml:space="preserve"> PAGE   \* MERGEFORMAT </w:instrText>
    </w:r>
    <w:r>
      <w:fldChar w:fldCharType="separate"/>
    </w:r>
    <w:r>
      <w:rPr>
        <w:noProof/>
      </w:rPr>
      <w:t>30</w:t>
    </w:r>
    <w:r>
      <w:fldChar w:fldCharType="end"/>
    </w:r>
  </w:p>
  <w:p w14:paraId="06342685" w14:textId="77777777" w:rsidR="00DD2510" w:rsidRDefault="00DD2510" w:rsidP="00342588">
    <w:pPr>
      <w:pStyle w:val="Stopka"/>
      <w:framePr w:wrap="notBeside" w:vAnchor="text" w:hAnchor="page" w:x="1098" w:y="-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D272" w14:textId="77777777" w:rsidR="00F5273F" w:rsidRDefault="00F5273F" w:rsidP="002D5C29">
      <w:pPr>
        <w:spacing w:line="240" w:lineRule="auto"/>
      </w:pPr>
      <w:r>
        <w:separator/>
      </w:r>
    </w:p>
  </w:footnote>
  <w:footnote w:type="continuationSeparator" w:id="0">
    <w:p w14:paraId="2DDF01F5" w14:textId="77777777" w:rsidR="00F5273F" w:rsidRDefault="00F5273F" w:rsidP="002D5C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370"/>
        </w:tabs>
        <w:ind w:left="143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344B7168"/>
    <w:multiLevelType w:val="hybridMultilevel"/>
    <w:tmpl w:val="F8406CF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6F80B31"/>
    <w:multiLevelType w:val="hybridMultilevel"/>
    <w:tmpl w:val="0D50F7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9692D96"/>
    <w:multiLevelType w:val="hybridMultilevel"/>
    <w:tmpl w:val="224AE9F6"/>
    <w:lvl w:ilvl="0" w:tplc="1AA6B3D4">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161C76"/>
    <w:multiLevelType w:val="hybridMultilevel"/>
    <w:tmpl w:val="0B6221C4"/>
    <w:lvl w:ilvl="0" w:tplc="04150001">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E92EC3"/>
    <w:multiLevelType w:val="hybridMultilevel"/>
    <w:tmpl w:val="4E80F018"/>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E1346E3"/>
    <w:multiLevelType w:val="hybridMultilevel"/>
    <w:tmpl w:val="8C1E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6E3B32"/>
    <w:multiLevelType w:val="hybridMultilevel"/>
    <w:tmpl w:val="FD347C10"/>
    <w:lvl w:ilvl="0" w:tplc="3134FDD2">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8" w15:restartNumberingAfterBreak="0">
    <w:nsid w:val="5FE654AE"/>
    <w:multiLevelType w:val="multilevel"/>
    <w:tmpl w:val="4C1AD514"/>
    <w:lvl w:ilvl="0">
      <w:start w:val="1"/>
      <w:numFmt w:val="decimal"/>
      <w:pStyle w:val="Nagwek1"/>
      <w:lvlText w:val="%1."/>
      <w:lvlJc w:val="left"/>
      <w:pPr>
        <w:ind w:left="432" w:hanging="432"/>
      </w:pPr>
      <w:rPr>
        <w:rFonts w:ascii="Times New Roman" w:eastAsia="Times New Roman" w:hAnsi="Times New Roman"/>
      </w:rPr>
    </w:lvl>
    <w:lvl w:ilvl="1">
      <w:start w:val="1"/>
      <w:numFmt w:val="decimal"/>
      <w:pStyle w:val="Nagwek2"/>
      <w:lvlText w:val="%1.%2"/>
      <w:lvlJc w:val="left"/>
      <w:pPr>
        <w:ind w:left="576" w:hanging="576"/>
      </w:pPr>
      <w:rPr>
        <w:b/>
        <w:bCs/>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67EE615B"/>
    <w:multiLevelType w:val="multilevel"/>
    <w:tmpl w:val="FFFFFFFF"/>
    <w:lvl w:ilvl="0">
      <w:start w:val="1"/>
      <w:numFmt w:val="bullet"/>
      <w:lvlText w:val="—"/>
      <w:lvlJc w:val="left"/>
      <w:rPr>
        <w:rFonts w:ascii="Times New Roman" w:eastAsia="Times New Roman" w:hAnsi="Times New Roman"/>
        <w:b/>
        <w:bCs/>
        <w:i/>
        <w:iCs/>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355975">
    <w:abstractNumId w:val="8"/>
  </w:num>
  <w:num w:numId="2" w16cid:durableId="1170171621">
    <w:abstractNumId w:val="6"/>
  </w:num>
  <w:num w:numId="3" w16cid:durableId="865600721">
    <w:abstractNumId w:val="3"/>
  </w:num>
  <w:num w:numId="4" w16cid:durableId="1265385101">
    <w:abstractNumId w:val="5"/>
  </w:num>
  <w:num w:numId="5" w16cid:durableId="1660501922">
    <w:abstractNumId w:val="2"/>
  </w:num>
  <w:num w:numId="6" w16cid:durableId="104353194">
    <w:abstractNumId w:val="4"/>
  </w:num>
  <w:num w:numId="7" w16cid:durableId="148057736">
    <w:abstractNumId w:val="1"/>
  </w:num>
  <w:num w:numId="8" w16cid:durableId="2111780384">
    <w:abstractNumId w:val="7"/>
  </w:num>
  <w:num w:numId="9" w16cid:durableId="1524975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29"/>
    <w:rsid w:val="00003EF0"/>
    <w:rsid w:val="00004778"/>
    <w:rsid w:val="00005977"/>
    <w:rsid w:val="00006FA5"/>
    <w:rsid w:val="000138B8"/>
    <w:rsid w:val="00013925"/>
    <w:rsid w:val="0001668F"/>
    <w:rsid w:val="0002152C"/>
    <w:rsid w:val="00021B72"/>
    <w:rsid w:val="000250FE"/>
    <w:rsid w:val="00026E93"/>
    <w:rsid w:val="000351A6"/>
    <w:rsid w:val="00035229"/>
    <w:rsid w:val="00035FE0"/>
    <w:rsid w:val="000365F5"/>
    <w:rsid w:val="00036940"/>
    <w:rsid w:val="00042465"/>
    <w:rsid w:val="0004356B"/>
    <w:rsid w:val="00045791"/>
    <w:rsid w:val="00045EA5"/>
    <w:rsid w:val="0004650A"/>
    <w:rsid w:val="000537A4"/>
    <w:rsid w:val="00054203"/>
    <w:rsid w:val="00054210"/>
    <w:rsid w:val="00054658"/>
    <w:rsid w:val="00057DEA"/>
    <w:rsid w:val="00062048"/>
    <w:rsid w:val="00062266"/>
    <w:rsid w:val="0006306D"/>
    <w:rsid w:val="000633A5"/>
    <w:rsid w:val="00065C85"/>
    <w:rsid w:val="0007038D"/>
    <w:rsid w:val="00072F24"/>
    <w:rsid w:val="00072F4D"/>
    <w:rsid w:val="0007354D"/>
    <w:rsid w:val="00073B07"/>
    <w:rsid w:val="000756B3"/>
    <w:rsid w:val="00076622"/>
    <w:rsid w:val="00076F6A"/>
    <w:rsid w:val="00077118"/>
    <w:rsid w:val="000807F4"/>
    <w:rsid w:val="00081948"/>
    <w:rsid w:val="00081AFC"/>
    <w:rsid w:val="000831F1"/>
    <w:rsid w:val="00083EF3"/>
    <w:rsid w:val="00084189"/>
    <w:rsid w:val="000847FA"/>
    <w:rsid w:val="00084F0C"/>
    <w:rsid w:val="00085E02"/>
    <w:rsid w:val="0008695E"/>
    <w:rsid w:val="00086FD9"/>
    <w:rsid w:val="00090FCF"/>
    <w:rsid w:val="0009222B"/>
    <w:rsid w:val="00094F83"/>
    <w:rsid w:val="0009621B"/>
    <w:rsid w:val="0009665F"/>
    <w:rsid w:val="00096B3C"/>
    <w:rsid w:val="000A0834"/>
    <w:rsid w:val="000A1FCE"/>
    <w:rsid w:val="000B11A2"/>
    <w:rsid w:val="000B19E3"/>
    <w:rsid w:val="000B4FAC"/>
    <w:rsid w:val="000C07BC"/>
    <w:rsid w:val="000C141C"/>
    <w:rsid w:val="000C290F"/>
    <w:rsid w:val="000C2EA7"/>
    <w:rsid w:val="000C6350"/>
    <w:rsid w:val="000C6B66"/>
    <w:rsid w:val="000C7F4D"/>
    <w:rsid w:val="000D3971"/>
    <w:rsid w:val="000D5911"/>
    <w:rsid w:val="000D6AF9"/>
    <w:rsid w:val="000E0A4E"/>
    <w:rsid w:val="000E0AF0"/>
    <w:rsid w:val="000E0E52"/>
    <w:rsid w:val="000E135A"/>
    <w:rsid w:val="000E1B8C"/>
    <w:rsid w:val="000E2DC9"/>
    <w:rsid w:val="000E5D4D"/>
    <w:rsid w:val="000E6D16"/>
    <w:rsid w:val="000F06BE"/>
    <w:rsid w:val="000F1CC4"/>
    <w:rsid w:val="000F360F"/>
    <w:rsid w:val="000F4765"/>
    <w:rsid w:val="000F5D9B"/>
    <w:rsid w:val="000F63D2"/>
    <w:rsid w:val="000F69C0"/>
    <w:rsid w:val="001046F2"/>
    <w:rsid w:val="00104CA6"/>
    <w:rsid w:val="00105B81"/>
    <w:rsid w:val="001071B4"/>
    <w:rsid w:val="00111907"/>
    <w:rsid w:val="00115C74"/>
    <w:rsid w:val="00116C01"/>
    <w:rsid w:val="00120C79"/>
    <w:rsid w:val="00121990"/>
    <w:rsid w:val="001226BE"/>
    <w:rsid w:val="00124426"/>
    <w:rsid w:val="00125ABA"/>
    <w:rsid w:val="00127B99"/>
    <w:rsid w:val="001329C2"/>
    <w:rsid w:val="00132BA6"/>
    <w:rsid w:val="00133712"/>
    <w:rsid w:val="00133CF0"/>
    <w:rsid w:val="00135C84"/>
    <w:rsid w:val="00136575"/>
    <w:rsid w:val="00137487"/>
    <w:rsid w:val="00141417"/>
    <w:rsid w:val="00142AB6"/>
    <w:rsid w:val="00143568"/>
    <w:rsid w:val="00145C04"/>
    <w:rsid w:val="00146820"/>
    <w:rsid w:val="0014691B"/>
    <w:rsid w:val="00146E32"/>
    <w:rsid w:val="0014705D"/>
    <w:rsid w:val="00147269"/>
    <w:rsid w:val="00150A06"/>
    <w:rsid w:val="001511E0"/>
    <w:rsid w:val="0015245B"/>
    <w:rsid w:val="00152C02"/>
    <w:rsid w:val="001538CA"/>
    <w:rsid w:val="00154562"/>
    <w:rsid w:val="00154FD1"/>
    <w:rsid w:val="001558E3"/>
    <w:rsid w:val="00156F00"/>
    <w:rsid w:val="00157F00"/>
    <w:rsid w:val="001606F5"/>
    <w:rsid w:val="00160C60"/>
    <w:rsid w:val="00161E27"/>
    <w:rsid w:val="00163A8F"/>
    <w:rsid w:val="00164691"/>
    <w:rsid w:val="001653BD"/>
    <w:rsid w:val="001659D0"/>
    <w:rsid w:val="001664E0"/>
    <w:rsid w:val="0016726F"/>
    <w:rsid w:val="0017070E"/>
    <w:rsid w:val="00170C98"/>
    <w:rsid w:val="001719B9"/>
    <w:rsid w:val="00175E07"/>
    <w:rsid w:val="001771E1"/>
    <w:rsid w:val="001772C3"/>
    <w:rsid w:val="001816F7"/>
    <w:rsid w:val="00182E57"/>
    <w:rsid w:val="0018445F"/>
    <w:rsid w:val="001845F5"/>
    <w:rsid w:val="001856F4"/>
    <w:rsid w:val="00187A0B"/>
    <w:rsid w:val="001901B8"/>
    <w:rsid w:val="001905F3"/>
    <w:rsid w:val="001932A1"/>
    <w:rsid w:val="0019341C"/>
    <w:rsid w:val="00195CBA"/>
    <w:rsid w:val="001A0615"/>
    <w:rsid w:val="001A09A5"/>
    <w:rsid w:val="001A130E"/>
    <w:rsid w:val="001A42C5"/>
    <w:rsid w:val="001A6519"/>
    <w:rsid w:val="001A6C1B"/>
    <w:rsid w:val="001B150C"/>
    <w:rsid w:val="001B3B5A"/>
    <w:rsid w:val="001C20ED"/>
    <w:rsid w:val="001C3639"/>
    <w:rsid w:val="001C37FA"/>
    <w:rsid w:val="001C421F"/>
    <w:rsid w:val="001C5208"/>
    <w:rsid w:val="001C5371"/>
    <w:rsid w:val="001C5A88"/>
    <w:rsid w:val="001D0B9E"/>
    <w:rsid w:val="001D1591"/>
    <w:rsid w:val="001D2394"/>
    <w:rsid w:val="001D3BDD"/>
    <w:rsid w:val="001D5677"/>
    <w:rsid w:val="001D5AF3"/>
    <w:rsid w:val="001D5D25"/>
    <w:rsid w:val="001E3886"/>
    <w:rsid w:val="001E39FF"/>
    <w:rsid w:val="001E4DD3"/>
    <w:rsid w:val="001E6537"/>
    <w:rsid w:val="001F084E"/>
    <w:rsid w:val="001F0DE1"/>
    <w:rsid w:val="001F18CC"/>
    <w:rsid w:val="001F1B9C"/>
    <w:rsid w:val="001F32D1"/>
    <w:rsid w:val="002040C1"/>
    <w:rsid w:val="0020416A"/>
    <w:rsid w:val="0020607A"/>
    <w:rsid w:val="00206218"/>
    <w:rsid w:val="00210372"/>
    <w:rsid w:val="002114A4"/>
    <w:rsid w:val="002138BC"/>
    <w:rsid w:val="00215974"/>
    <w:rsid w:val="00217071"/>
    <w:rsid w:val="0022157A"/>
    <w:rsid w:val="00226ED5"/>
    <w:rsid w:val="00227F95"/>
    <w:rsid w:val="00230C31"/>
    <w:rsid w:val="00231DBE"/>
    <w:rsid w:val="00231F3D"/>
    <w:rsid w:val="002326F8"/>
    <w:rsid w:val="00232EA3"/>
    <w:rsid w:val="00232F68"/>
    <w:rsid w:val="00232FD4"/>
    <w:rsid w:val="00233764"/>
    <w:rsid w:val="0023585A"/>
    <w:rsid w:val="00236B61"/>
    <w:rsid w:val="002377CA"/>
    <w:rsid w:val="00244D6A"/>
    <w:rsid w:val="00245ADA"/>
    <w:rsid w:val="00247368"/>
    <w:rsid w:val="002477E2"/>
    <w:rsid w:val="002506BA"/>
    <w:rsid w:val="002525EE"/>
    <w:rsid w:val="00253AC1"/>
    <w:rsid w:val="00255C34"/>
    <w:rsid w:val="0025731A"/>
    <w:rsid w:val="0026380B"/>
    <w:rsid w:val="002641A8"/>
    <w:rsid w:val="00264C80"/>
    <w:rsid w:val="00265267"/>
    <w:rsid w:val="0026537C"/>
    <w:rsid w:val="00265E73"/>
    <w:rsid w:val="0027450B"/>
    <w:rsid w:val="00274CBF"/>
    <w:rsid w:val="0027795F"/>
    <w:rsid w:val="00277C7E"/>
    <w:rsid w:val="002809EA"/>
    <w:rsid w:val="00281D12"/>
    <w:rsid w:val="002844E2"/>
    <w:rsid w:val="002849FE"/>
    <w:rsid w:val="002856D3"/>
    <w:rsid w:val="0028666A"/>
    <w:rsid w:val="002876C1"/>
    <w:rsid w:val="00287A86"/>
    <w:rsid w:val="002912D9"/>
    <w:rsid w:val="00291B64"/>
    <w:rsid w:val="0029228B"/>
    <w:rsid w:val="002945B1"/>
    <w:rsid w:val="00294C79"/>
    <w:rsid w:val="002979F1"/>
    <w:rsid w:val="002A0AC6"/>
    <w:rsid w:val="002A0BAF"/>
    <w:rsid w:val="002A0CD8"/>
    <w:rsid w:val="002A1292"/>
    <w:rsid w:val="002A1624"/>
    <w:rsid w:val="002A5ACB"/>
    <w:rsid w:val="002A7FE8"/>
    <w:rsid w:val="002B01D2"/>
    <w:rsid w:val="002B0390"/>
    <w:rsid w:val="002B315E"/>
    <w:rsid w:val="002B3971"/>
    <w:rsid w:val="002B40AE"/>
    <w:rsid w:val="002B4DC4"/>
    <w:rsid w:val="002B5165"/>
    <w:rsid w:val="002B68A0"/>
    <w:rsid w:val="002B6A86"/>
    <w:rsid w:val="002B78A5"/>
    <w:rsid w:val="002C07F8"/>
    <w:rsid w:val="002C0ED6"/>
    <w:rsid w:val="002C1639"/>
    <w:rsid w:val="002C6BE4"/>
    <w:rsid w:val="002C70AD"/>
    <w:rsid w:val="002D2178"/>
    <w:rsid w:val="002D2C0C"/>
    <w:rsid w:val="002D433B"/>
    <w:rsid w:val="002D5969"/>
    <w:rsid w:val="002D5C29"/>
    <w:rsid w:val="002D69B8"/>
    <w:rsid w:val="002D75FD"/>
    <w:rsid w:val="002E0119"/>
    <w:rsid w:val="002E14E2"/>
    <w:rsid w:val="002E2A82"/>
    <w:rsid w:val="002E4CB2"/>
    <w:rsid w:val="002E4FC8"/>
    <w:rsid w:val="002E5448"/>
    <w:rsid w:val="002E62F5"/>
    <w:rsid w:val="002E7A33"/>
    <w:rsid w:val="002F02CD"/>
    <w:rsid w:val="002F0816"/>
    <w:rsid w:val="002F12E4"/>
    <w:rsid w:val="002F2BC6"/>
    <w:rsid w:val="002F6088"/>
    <w:rsid w:val="002F67C0"/>
    <w:rsid w:val="00304CBE"/>
    <w:rsid w:val="0030508D"/>
    <w:rsid w:val="003050E4"/>
    <w:rsid w:val="00306670"/>
    <w:rsid w:val="0030683A"/>
    <w:rsid w:val="00310CC9"/>
    <w:rsid w:val="003115C3"/>
    <w:rsid w:val="003118C0"/>
    <w:rsid w:val="00311D5B"/>
    <w:rsid w:val="003139F8"/>
    <w:rsid w:val="00314234"/>
    <w:rsid w:val="003147F2"/>
    <w:rsid w:val="003149D2"/>
    <w:rsid w:val="00314DEF"/>
    <w:rsid w:val="003159D8"/>
    <w:rsid w:val="00316FD2"/>
    <w:rsid w:val="00323BD8"/>
    <w:rsid w:val="00323DCB"/>
    <w:rsid w:val="00323F30"/>
    <w:rsid w:val="00325C3D"/>
    <w:rsid w:val="0032616C"/>
    <w:rsid w:val="00326AB6"/>
    <w:rsid w:val="003353D5"/>
    <w:rsid w:val="00336010"/>
    <w:rsid w:val="00340132"/>
    <w:rsid w:val="00340150"/>
    <w:rsid w:val="00341732"/>
    <w:rsid w:val="00342588"/>
    <w:rsid w:val="003430BC"/>
    <w:rsid w:val="00343B2A"/>
    <w:rsid w:val="00344973"/>
    <w:rsid w:val="00344C90"/>
    <w:rsid w:val="00345385"/>
    <w:rsid w:val="00345393"/>
    <w:rsid w:val="003476F3"/>
    <w:rsid w:val="00351092"/>
    <w:rsid w:val="003525AD"/>
    <w:rsid w:val="00353AED"/>
    <w:rsid w:val="003547FD"/>
    <w:rsid w:val="0035672B"/>
    <w:rsid w:val="00362485"/>
    <w:rsid w:val="00366413"/>
    <w:rsid w:val="00367AEA"/>
    <w:rsid w:val="00370204"/>
    <w:rsid w:val="003708C6"/>
    <w:rsid w:val="0037111B"/>
    <w:rsid w:val="00371BC4"/>
    <w:rsid w:val="00373EE1"/>
    <w:rsid w:val="00374130"/>
    <w:rsid w:val="003754D7"/>
    <w:rsid w:val="0037565C"/>
    <w:rsid w:val="003763F0"/>
    <w:rsid w:val="0037791C"/>
    <w:rsid w:val="00377973"/>
    <w:rsid w:val="003801FC"/>
    <w:rsid w:val="00380690"/>
    <w:rsid w:val="0038170C"/>
    <w:rsid w:val="00383F5C"/>
    <w:rsid w:val="00384446"/>
    <w:rsid w:val="003865EC"/>
    <w:rsid w:val="00386B8F"/>
    <w:rsid w:val="003908C7"/>
    <w:rsid w:val="003912D9"/>
    <w:rsid w:val="00392DE6"/>
    <w:rsid w:val="00393E42"/>
    <w:rsid w:val="003A0746"/>
    <w:rsid w:val="003A08AA"/>
    <w:rsid w:val="003A171A"/>
    <w:rsid w:val="003A4BFE"/>
    <w:rsid w:val="003B08D3"/>
    <w:rsid w:val="003B15CA"/>
    <w:rsid w:val="003B239A"/>
    <w:rsid w:val="003B35EB"/>
    <w:rsid w:val="003B3DF8"/>
    <w:rsid w:val="003B65CA"/>
    <w:rsid w:val="003C2507"/>
    <w:rsid w:val="003C2F38"/>
    <w:rsid w:val="003C6D20"/>
    <w:rsid w:val="003C7FAC"/>
    <w:rsid w:val="003D215C"/>
    <w:rsid w:val="003D4A7C"/>
    <w:rsid w:val="003D4D77"/>
    <w:rsid w:val="003D5658"/>
    <w:rsid w:val="003D6B45"/>
    <w:rsid w:val="003D729C"/>
    <w:rsid w:val="003D7AA8"/>
    <w:rsid w:val="003E073E"/>
    <w:rsid w:val="003E0BE1"/>
    <w:rsid w:val="003E2D25"/>
    <w:rsid w:val="003E2F3B"/>
    <w:rsid w:val="003E4EB5"/>
    <w:rsid w:val="003E53D7"/>
    <w:rsid w:val="003E6A28"/>
    <w:rsid w:val="003F0C4F"/>
    <w:rsid w:val="003F0F4D"/>
    <w:rsid w:val="003F1378"/>
    <w:rsid w:val="003F5115"/>
    <w:rsid w:val="003F54E6"/>
    <w:rsid w:val="003F5AFB"/>
    <w:rsid w:val="003F60B2"/>
    <w:rsid w:val="003F714A"/>
    <w:rsid w:val="003F7A85"/>
    <w:rsid w:val="004015D4"/>
    <w:rsid w:val="00402325"/>
    <w:rsid w:val="004024D0"/>
    <w:rsid w:val="00406D98"/>
    <w:rsid w:val="00412471"/>
    <w:rsid w:val="00412601"/>
    <w:rsid w:val="004146C0"/>
    <w:rsid w:val="00415D32"/>
    <w:rsid w:val="004177CE"/>
    <w:rsid w:val="00420A69"/>
    <w:rsid w:val="00422435"/>
    <w:rsid w:val="00422D18"/>
    <w:rsid w:val="00422FDF"/>
    <w:rsid w:val="00424BF2"/>
    <w:rsid w:val="00425E76"/>
    <w:rsid w:val="00427624"/>
    <w:rsid w:val="00430AC7"/>
    <w:rsid w:val="00433D97"/>
    <w:rsid w:val="00434E93"/>
    <w:rsid w:val="00437B03"/>
    <w:rsid w:val="00441B58"/>
    <w:rsid w:val="00441D9A"/>
    <w:rsid w:val="00442369"/>
    <w:rsid w:val="00445754"/>
    <w:rsid w:val="00445BE9"/>
    <w:rsid w:val="00446AF8"/>
    <w:rsid w:val="00447513"/>
    <w:rsid w:val="004538C1"/>
    <w:rsid w:val="00455318"/>
    <w:rsid w:val="00455D28"/>
    <w:rsid w:val="00457A20"/>
    <w:rsid w:val="00465182"/>
    <w:rsid w:val="00470AE5"/>
    <w:rsid w:val="00471701"/>
    <w:rsid w:val="00471FBF"/>
    <w:rsid w:val="00473861"/>
    <w:rsid w:val="00475757"/>
    <w:rsid w:val="00476AD5"/>
    <w:rsid w:val="00480335"/>
    <w:rsid w:val="004829A1"/>
    <w:rsid w:val="00482C2A"/>
    <w:rsid w:val="00484243"/>
    <w:rsid w:val="00484751"/>
    <w:rsid w:val="00485606"/>
    <w:rsid w:val="004860BF"/>
    <w:rsid w:val="004867C4"/>
    <w:rsid w:val="00486A82"/>
    <w:rsid w:val="00487664"/>
    <w:rsid w:val="00487823"/>
    <w:rsid w:val="00490231"/>
    <w:rsid w:val="00490312"/>
    <w:rsid w:val="004955F2"/>
    <w:rsid w:val="00495F29"/>
    <w:rsid w:val="00495FD3"/>
    <w:rsid w:val="004A60DB"/>
    <w:rsid w:val="004B13B8"/>
    <w:rsid w:val="004B37C7"/>
    <w:rsid w:val="004B3BB9"/>
    <w:rsid w:val="004B5927"/>
    <w:rsid w:val="004B636D"/>
    <w:rsid w:val="004B68C9"/>
    <w:rsid w:val="004B7880"/>
    <w:rsid w:val="004C0EB2"/>
    <w:rsid w:val="004C11BC"/>
    <w:rsid w:val="004C710D"/>
    <w:rsid w:val="004C7C92"/>
    <w:rsid w:val="004D0765"/>
    <w:rsid w:val="004D0BF3"/>
    <w:rsid w:val="004D16FE"/>
    <w:rsid w:val="004E0463"/>
    <w:rsid w:val="004E28ED"/>
    <w:rsid w:val="004E3107"/>
    <w:rsid w:val="004E43EC"/>
    <w:rsid w:val="004E4B1F"/>
    <w:rsid w:val="004E725D"/>
    <w:rsid w:val="004F0345"/>
    <w:rsid w:val="004F0D67"/>
    <w:rsid w:val="004F24BD"/>
    <w:rsid w:val="004F4000"/>
    <w:rsid w:val="004F6965"/>
    <w:rsid w:val="004F6C14"/>
    <w:rsid w:val="0050155F"/>
    <w:rsid w:val="00502F5B"/>
    <w:rsid w:val="005067BA"/>
    <w:rsid w:val="00507EBA"/>
    <w:rsid w:val="00513F7B"/>
    <w:rsid w:val="00514061"/>
    <w:rsid w:val="00514D2B"/>
    <w:rsid w:val="005161B9"/>
    <w:rsid w:val="00516344"/>
    <w:rsid w:val="005203A5"/>
    <w:rsid w:val="0052057B"/>
    <w:rsid w:val="00520B6A"/>
    <w:rsid w:val="0052188F"/>
    <w:rsid w:val="00521D40"/>
    <w:rsid w:val="00522CF0"/>
    <w:rsid w:val="00523A6E"/>
    <w:rsid w:val="005242F9"/>
    <w:rsid w:val="0052751A"/>
    <w:rsid w:val="005348B0"/>
    <w:rsid w:val="00535403"/>
    <w:rsid w:val="005402D7"/>
    <w:rsid w:val="005416A4"/>
    <w:rsid w:val="005416B9"/>
    <w:rsid w:val="0054324B"/>
    <w:rsid w:val="005433B5"/>
    <w:rsid w:val="00543C9D"/>
    <w:rsid w:val="00546378"/>
    <w:rsid w:val="005505F1"/>
    <w:rsid w:val="0055141C"/>
    <w:rsid w:val="00553B7B"/>
    <w:rsid w:val="0055459E"/>
    <w:rsid w:val="0055646C"/>
    <w:rsid w:val="005564D5"/>
    <w:rsid w:val="00556A09"/>
    <w:rsid w:val="00557798"/>
    <w:rsid w:val="00562685"/>
    <w:rsid w:val="005634E3"/>
    <w:rsid w:val="005645EB"/>
    <w:rsid w:val="005677CC"/>
    <w:rsid w:val="00571252"/>
    <w:rsid w:val="00572F6E"/>
    <w:rsid w:val="005738E3"/>
    <w:rsid w:val="0057401A"/>
    <w:rsid w:val="005750C6"/>
    <w:rsid w:val="005800A7"/>
    <w:rsid w:val="0058254D"/>
    <w:rsid w:val="00583B57"/>
    <w:rsid w:val="005852B9"/>
    <w:rsid w:val="00585748"/>
    <w:rsid w:val="00585A7F"/>
    <w:rsid w:val="00592A67"/>
    <w:rsid w:val="00592B6E"/>
    <w:rsid w:val="005956EB"/>
    <w:rsid w:val="00597500"/>
    <w:rsid w:val="005978C0"/>
    <w:rsid w:val="005A0C79"/>
    <w:rsid w:val="005A34A1"/>
    <w:rsid w:val="005A3CD6"/>
    <w:rsid w:val="005A5A43"/>
    <w:rsid w:val="005A6A15"/>
    <w:rsid w:val="005A6A67"/>
    <w:rsid w:val="005A7BFF"/>
    <w:rsid w:val="005B035C"/>
    <w:rsid w:val="005B073B"/>
    <w:rsid w:val="005B1159"/>
    <w:rsid w:val="005B1A6F"/>
    <w:rsid w:val="005B1FFF"/>
    <w:rsid w:val="005B2BA6"/>
    <w:rsid w:val="005B3A45"/>
    <w:rsid w:val="005B4781"/>
    <w:rsid w:val="005C1B9B"/>
    <w:rsid w:val="005C2201"/>
    <w:rsid w:val="005C7756"/>
    <w:rsid w:val="005D00D7"/>
    <w:rsid w:val="005D0D15"/>
    <w:rsid w:val="005D1175"/>
    <w:rsid w:val="005D1A7E"/>
    <w:rsid w:val="005D1AA1"/>
    <w:rsid w:val="005D26C9"/>
    <w:rsid w:val="005D32E6"/>
    <w:rsid w:val="005D3809"/>
    <w:rsid w:val="005D5997"/>
    <w:rsid w:val="005E34F3"/>
    <w:rsid w:val="005E4580"/>
    <w:rsid w:val="005E56D3"/>
    <w:rsid w:val="005E5F7A"/>
    <w:rsid w:val="005E6F4E"/>
    <w:rsid w:val="005F0500"/>
    <w:rsid w:val="005F132A"/>
    <w:rsid w:val="005F3253"/>
    <w:rsid w:val="005F3A74"/>
    <w:rsid w:val="005F51F9"/>
    <w:rsid w:val="005F6326"/>
    <w:rsid w:val="005F68FD"/>
    <w:rsid w:val="005F756E"/>
    <w:rsid w:val="006003C0"/>
    <w:rsid w:val="00604F28"/>
    <w:rsid w:val="00610A58"/>
    <w:rsid w:val="00613A1C"/>
    <w:rsid w:val="00615536"/>
    <w:rsid w:val="0061572E"/>
    <w:rsid w:val="0061643A"/>
    <w:rsid w:val="006200B0"/>
    <w:rsid w:val="00622927"/>
    <w:rsid w:val="006229F6"/>
    <w:rsid w:val="00626402"/>
    <w:rsid w:val="00626E39"/>
    <w:rsid w:val="00632B6E"/>
    <w:rsid w:val="006335BA"/>
    <w:rsid w:val="00634B4C"/>
    <w:rsid w:val="0063723B"/>
    <w:rsid w:val="006372B4"/>
    <w:rsid w:val="006432F9"/>
    <w:rsid w:val="00643780"/>
    <w:rsid w:val="006437E1"/>
    <w:rsid w:val="00643A8E"/>
    <w:rsid w:val="00644A24"/>
    <w:rsid w:val="00645E2F"/>
    <w:rsid w:val="00646E6C"/>
    <w:rsid w:val="0065131C"/>
    <w:rsid w:val="006517C5"/>
    <w:rsid w:val="00653FBE"/>
    <w:rsid w:val="006543DC"/>
    <w:rsid w:val="006607E5"/>
    <w:rsid w:val="0066412D"/>
    <w:rsid w:val="00665D4D"/>
    <w:rsid w:val="0066662F"/>
    <w:rsid w:val="006671B7"/>
    <w:rsid w:val="006709AB"/>
    <w:rsid w:val="00671561"/>
    <w:rsid w:val="006720C8"/>
    <w:rsid w:val="00675957"/>
    <w:rsid w:val="00675DF0"/>
    <w:rsid w:val="00676BFE"/>
    <w:rsid w:val="00676FFA"/>
    <w:rsid w:val="00677549"/>
    <w:rsid w:val="006778FF"/>
    <w:rsid w:val="00680E77"/>
    <w:rsid w:val="006826C5"/>
    <w:rsid w:val="00682D54"/>
    <w:rsid w:val="006845DB"/>
    <w:rsid w:val="00691AF5"/>
    <w:rsid w:val="006923CE"/>
    <w:rsid w:val="006938CA"/>
    <w:rsid w:val="006947E4"/>
    <w:rsid w:val="00694F9B"/>
    <w:rsid w:val="00696721"/>
    <w:rsid w:val="00696967"/>
    <w:rsid w:val="006A0905"/>
    <w:rsid w:val="006A4640"/>
    <w:rsid w:val="006A55CD"/>
    <w:rsid w:val="006A5D5F"/>
    <w:rsid w:val="006A6B8F"/>
    <w:rsid w:val="006B17A5"/>
    <w:rsid w:val="006B222B"/>
    <w:rsid w:val="006B3079"/>
    <w:rsid w:val="006B3346"/>
    <w:rsid w:val="006B4C25"/>
    <w:rsid w:val="006B5FF6"/>
    <w:rsid w:val="006B73A9"/>
    <w:rsid w:val="006B7CE6"/>
    <w:rsid w:val="006C0564"/>
    <w:rsid w:val="006C0DD4"/>
    <w:rsid w:val="006C18EF"/>
    <w:rsid w:val="006C3A44"/>
    <w:rsid w:val="006C401A"/>
    <w:rsid w:val="006C7B58"/>
    <w:rsid w:val="006D15F0"/>
    <w:rsid w:val="006D18B4"/>
    <w:rsid w:val="006D1BD7"/>
    <w:rsid w:val="006D2BE5"/>
    <w:rsid w:val="006D5D0D"/>
    <w:rsid w:val="006D70D1"/>
    <w:rsid w:val="006D7900"/>
    <w:rsid w:val="006E09CC"/>
    <w:rsid w:val="006E0A28"/>
    <w:rsid w:val="006E299F"/>
    <w:rsid w:val="006E3EB7"/>
    <w:rsid w:val="006E741C"/>
    <w:rsid w:val="006F2209"/>
    <w:rsid w:val="006F3FC4"/>
    <w:rsid w:val="006F4591"/>
    <w:rsid w:val="006F4680"/>
    <w:rsid w:val="006F58DF"/>
    <w:rsid w:val="006F64C1"/>
    <w:rsid w:val="006F6AD4"/>
    <w:rsid w:val="006F6BC7"/>
    <w:rsid w:val="007009D6"/>
    <w:rsid w:val="00701813"/>
    <w:rsid w:val="007021CA"/>
    <w:rsid w:val="00704277"/>
    <w:rsid w:val="007054FA"/>
    <w:rsid w:val="00706733"/>
    <w:rsid w:val="00706A4D"/>
    <w:rsid w:val="007074DA"/>
    <w:rsid w:val="00707713"/>
    <w:rsid w:val="00714078"/>
    <w:rsid w:val="00715A5C"/>
    <w:rsid w:val="00716318"/>
    <w:rsid w:val="00716AC9"/>
    <w:rsid w:val="007177F3"/>
    <w:rsid w:val="00717DE3"/>
    <w:rsid w:val="0072010B"/>
    <w:rsid w:val="00720731"/>
    <w:rsid w:val="00721273"/>
    <w:rsid w:val="00721804"/>
    <w:rsid w:val="00722480"/>
    <w:rsid w:val="007237FC"/>
    <w:rsid w:val="00725E7C"/>
    <w:rsid w:val="007261DA"/>
    <w:rsid w:val="007310C2"/>
    <w:rsid w:val="0073302C"/>
    <w:rsid w:val="007346AE"/>
    <w:rsid w:val="007349D2"/>
    <w:rsid w:val="00737C3A"/>
    <w:rsid w:val="00740256"/>
    <w:rsid w:val="007409A3"/>
    <w:rsid w:val="00741412"/>
    <w:rsid w:val="00742B07"/>
    <w:rsid w:val="0074358A"/>
    <w:rsid w:val="007456C1"/>
    <w:rsid w:val="0074648C"/>
    <w:rsid w:val="0075294D"/>
    <w:rsid w:val="007533DC"/>
    <w:rsid w:val="00754022"/>
    <w:rsid w:val="0075527F"/>
    <w:rsid w:val="00755E0B"/>
    <w:rsid w:val="007561EA"/>
    <w:rsid w:val="007562BD"/>
    <w:rsid w:val="00756CE4"/>
    <w:rsid w:val="00760DBB"/>
    <w:rsid w:val="007616BC"/>
    <w:rsid w:val="00762266"/>
    <w:rsid w:val="00763760"/>
    <w:rsid w:val="00764ED4"/>
    <w:rsid w:val="00765E52"/>
    <w:rsid w:val="00770702"/>
    <w:rsid w:val="00770D32"/>
    <w:rsid w:val="007729FB"/>
    <w:rsid w:val="00774C52"/>
    <w:rsid w:val="00775924"/>
    <w:rsid w:val="00780076"/>
    <w:rsid w:val="00780B29"/>
    <w:rsid w:val="00783B87"/>
    <w:rsid w:val="00786703"/>
    <w:rsid w:val="00790DF2"/>
    <w:rsid w:val="00791C2C"/>
    <w:rsid w:val="00792914"/>
    <w:rsid w:val="00793D25"/>
    <w:rsid w:val="00793FB8"/>
    <w:rsid w:val="00796241"/>
    <w:rsid w:val="0079759E"/>
    <w:rsid w:val="00797910"/>
    <w:rsid w:val="00797A0C"/>
    <w:rsid w:val="00797DF0"/>
    <w:rsid w:val="007A0E1E"/>
    <w:rsid w:val="007A298C"/>
    <w:rsid w:val="007A34DB"/>
    <w:rsid w:val="007A440A"/>
    <w:rsid w:val="007A50AC"/>
    <w:rsid w:val="007A57C6"/>
    <w:rsid w:val="007A7B05"/>
    <w:rsid w:val="007B0D16"/>
    <w:rsid w:val="007B2997"/>
    <w:rsid w:val="007B42AB"/>
    <w:rsid w:val="007B4F63"/>
    <w:rsid w:val="007B5EC0"/>
    <w:rsid w:val="007B7C20"/>
    <w:rsid w:val="007C0264"/>
    <w:rsid w:val="007C0821"/>
    <w:rsid w:val="007C13B9"/>
    <w:rsid w:val="007C2C85"/>
    <w:rsid w:val="007C313D"/>
    <w:rsid w:val="007C32F1"/>
    <w:rsid w:val="007C6EB4"/>
    <w:rsid w:val="007C7A6F"/>
    <w:rsid w:val="007C7E06"/>
    <w:rsid w:val="007D12A4"/>
    <w:rsid w:val="007D1C5C"/>
    <w:rsid w:val="007D5A6C"/>
    <w:rsid w:val="007D792E"/>
    <w:rsid w:val="007E002B"/>
    <w:rsid w:val="007E23AD"/>
    <w:rsid w:val="007E4F1E"/>
    <w:rsid w:val="007E6F3B"/>
    <w:rsid w:val="007E7B31"/>
    <w:rsid w:val="007E7DA8"/>
    <w:rsid w:val="007F149A"/>
    <w:rsid w:val="007F3497"/>
    <w:rsid w:val="007F511D"/>
    <w:rsid w:val="007F5215"/>
    <w:rsid w:val="007F6885"/>
    <w:rsid w:val="00800B23"/>
    <w:rsid w:val="00803B73"/>
    <w:rsid w:val="00804238"/>
    <w:rsid w:val="00805E1A"/>
    <w:rsid w:val="008063C8"/>
    <w:rsid w:val="00806958"/>
    <w:rsid w:val="0080698F"/>
    <w:rsid w:val="00806D75"/>
    <w:rsid w:val="0080798D"/>
    <w:rsid w:val="008114B9"/>
    <w:rsid w:val="008115A0"/>
    <w:rsid w:val="008119F7"/>
    <w:rsid w:val="00812C39"/>
    <w:rsid w:val="008149B6"/>
    <w:rsid w:val="00814E13"/>
    <w:rsid w:val="008212A2"/>
    <w:rsid w:val="00824333"/>
    <w:rsid w:val="00824AA1"/>
    <w:rsid w:val="00824E41"/>
    <w:rsid w:val="0082526C"/>
    <w:rsid w:val="00825F1F"/>
    <w:rsid w:val="00827827"/>
    <w:rsid w:val="00827B4F"/>
    <w:rsid w:val="00827F19"/>
    <w:rsid w:val="00830DEE"/>
    <w:rsid w:val="00831557"/>
    <w:rsid w:val="00833CF0"/>
    <w:rsid w:val="00833D0A"/>
    <w:rsid w:val="00833FBD"/>
    <w:rsid w:val="008363CF"/>
    <w:rsid w:val="0083753D"/>
    <w:rsid w:val="00837677"/>
    <w:rsid w:val="00837CE2"/>
    <w:rsid w:val="00840427"/>
    <w:rsid w:val="008413F1"/>
    <w:rsid w:val="008418F4"/>
    <w:rsid w:val="00841CE8"/>
    <w:rsid w:val="00842748"/>
    <w:rsid w:val="008427C2"/>
    <w:rsid w:val="00843871"/>
    <w:rsid w:val="00846C99"/>
    <w:rsid w:val="00850106"/>
    <w:rsid w:val="0085030D"/>
    <w:rsid w:val="0085054A"/>
    <w:rsid w:val="0085277F"/>
    <w:rsid w:val="008533A0"/>
    <w:rsid w:val="00854A23"/>
    <w:rsid w:val="0085553D"/>
    <w:rsid w:val="0085598D"/>
    <w:rsid w:val="00857547"/>
    <w:rsid w:val="0085780C"/>
    <w:rsid w:val="0086127A"/>
    <w:rsid w:val="00863013"/>
    <w:rsid w:val="00864C13"/>
    <w:rsid w:val="008700D9"/>
    <w:rsid w:val="008718A5"/>
    <w:rsid w:val="00871FCA"/>
    <w:rsid w:val="0087212B"/>
    <w:rsid w:val="0087295F"/>
    <w:rsid w:val="00872BD4"/>
    <w:rsid w:val="008731A3"/>
    <w:rsid w:val="00875A11"/>
    <w:rsid w:val="00876D02"/>
    <w:rsid w:val="0088045E"/>
    <w:rsid w:val="008818BD"/>
    <w:rsid w:val="008831E4"/>
    <w:rsid w:val="00883645"/>
    <w:rsid w:val="00884945"/>
    <w:rsid w:val="00884DF5"/>
    <w:rsid w:val="00885A99"/>
    <w:rsid w:val="00886154"/>
    <w:rsid w:val="008871D8"/>
    <w:rsid w:val="008918AF"/>
    <w:rsid w:val="008941BB"/>
    <w:rsid w:val="00894DF2"/>
    <w:rsid w:val="00897019"/>
    <w:rsid w:val="00897E3D"/>
    <w:rsid w:val="00897EC6"/>
    <w:rsid w:val="008A53CD"/>
    <w:rsid w:val="008A6759"/>
    <w:rsid w:val="008A70F8"/>
    <w:rsid w:val="008B387E"/>
    <w:rsid w:val="008B618E"/>
    <w:rsid w:val="008B7B2E"/>
    <w:rsid w:val="008C18A7"/>
    <w:rsid w:val="008C191A"/>
    <w:rsid w:val="008C2EC4"/>
    <w:rsid w:val="008C423A"/>
    <w:rsid w:val="008C5F4C"/>
    <w:rsid w:val="008C683F"/>
    <w:rsid w:val="008C7994"/>
    <w:rsid w:val="008D03A9"/>
    <w:rsid w:val="008D0F15"/>
    <w:rsid w:val="008D123E"/>
    <w:rsid w:val="008D167C"/>
    <w:rsid w:val="008D1CD9"/>
    <w:rsid w:val="008D2FDF"/>
    <w:rsid w:val="008D50B0"/>
    <w:rsid w:val="008D5814"/>
    <w:rsid w:val="008D637B"/>
    <w:rsid w:val="008E0AA3"/>
    <w:rsid w:val="008E0B72"/>
    <w:rsid w:val="008E4020"/>
    <w:rsid w:val="008E7374"/>
    <w:rsid w:val="008E7404"/>
    <w:rsid w:val="008E7A51"/>
    <w:rsid w:val="008F15B9"/>
    <w:rsid w:val="008F2899"/>
    <w:rsid w:val="008F4EC8"/>
    <w:rsid w:val="008F6886"/>
    <w:rsid w:val="009019D4"/>
    <w:rsid w:val="0090277E"/>
    <w:rsid w:val="00903819"/>
    <w:rsid w:val="00904240"/>
    <w:rsid w:val="00906F48"/>
    <w:rsid w:val="0090708F"/>
    <w:rsid w:val="00907366"/>
    <w:rsid w:val="00907432"/>
    <w:rsid w:val="0091230B"/>
    <w:rsid w:val="00915201"/>
    <w:rsid w:val="009157D3"/>
    <w:rsid w:val="00915F4E"/>
    <w:rsid w:val="009164F6"/>
    <w:rsid w:val="00916D28"/>
    <w:rsid w:val="00920504"/>
    <w:rsid w:val="00920ADB"/>
    <w:rsid w:val="009227AC"/>
    <w:rsid w:val="009254C9"/>
    <w:rsid w:val="00925CF6"/>
    <w:rsid w:val="00930A01"/>
    <w:rsid w:val="00934DA4"/>
    <w:rsid w:val="009356E2"/>
    <w:rsid w:val="009359C9"/>
    <w:rsid w:val="00936010"/>
    <w:rsid w:val="0093780A"/>
    <w:rsid w:val="00940A36"/>
    <w:rsid w:val="009413C3"/>
    <w:rsid w:val="00941FAF"/>
    <w:rsid w:val="00942267"/>
    <w:rsid w:val="0094256C"/>
    <w:rsid w:val="009448A9"/>
    <w:rsid w:val="00944FB1"/>
    <w:rsid w:val="00946200"/>
    <w:rsid w:val="00952FF1"/>
    <w:rsid w:val="00953CF0"/>
    <w:rsid w:val="0095650A"/>
    <w:rsid w:val="00956756"/>
    <w:rsid w:val="009608B9"/>
    <w:rsid w:val="00961285"/>
    <w:rsid w:val="0096204A"/>
    <w:rsid w:val="00963735"/>
    <w:rsid w:val="00963795"/>
    <w:rsid w:val="00963A84"/>
    <w:rsid w:val="0096467E"/>
    <w:rsid w:val="00966937"/>
    <w:rsid w:val="00966B88"/>
    <w:rsid w:val="00967251"/>
    <w:rsid w:val="00967C9E"/>
    <w:rsid w:val="00970518"/>
    <w:rsid w:val="00971748"/>
    <w:rsid w:val="009735B3"/>
    <w:rsid w:val="00974A78"/>
    <w:rsid w:val="00975F5F"/>
    <w:rsid w:val="00977362"/>
    <w:rsid w:val="009773C7"/>
    <w:rsid w:val="00980900"/>
    <w:rsid w:val="00980D22"/>
    <w:rsid w:val="00981E70"/>
    <w:rsid w:val="00982679"/>
    <w:rsid w:val="00982C0E"/>
    <w:rsid w:val="0098347B"/>
    <w:rsid w:val="00993236"/>
    <w:rsid w:val="009949E5"/>
    <w:rsid w:val="00994EBB"/>
    <w:rsid w:val="00996D32"/>
    <w:rsid w:val="009A238A"/>
    <w:rsid w:val="009A5A31"/>
    <w:rsid w:val="009B01BD"/>
    <w:rsid w:val="009B1578"/>
    <w:rsid w:val="009B5DCF"/>
    <w:rsid w:val="009B74E6"/>
    <w:rsid w:val="009C0779"/>
    <w:rsid w:val="009C0F78"/>
    <w:rsid w:val="009C190E"/>
    <w:rsid w:val="009C2256"/>
    <w:rsid w:val="009C564A"/>
    <w:rsid w:val="009C65E6"/>
    <w:rsid w:val="009C784D"/>
    <w:rsid w:val="009C78CD"/>
    <w:rsid w:val="009D03F8"/>
    <w:rsid w:val="009D11F2"/>
    <w:rsid w:val="009D2F5D"/>
    <w:rsid w:val="009D37AC"/>
    <w:rsid w:val="009D4B5B"/>
    <w:rsid w:val="009D6F14"/>
    <w:rsid w:val="009E0CD8"/>
    <w:rsid w:val="009E2C79"/>
    <w:rsid w:val="009E2DCB"/>
    <w:rsid w:val="009E30F0"/>
    <w:rsid w:val="009E32D1"/>
    <w:rsid w:val="009E5B29"/>
    <w:rsid w:val="009E6AB8"/>
    <w:rsid w:val="009F0D50"/>
    <w:rsid w:val="009F1C08"/>
    <w:rsid w:val="009F1F26"/>
    <w:rsid w:val="009F2E17"/>
    <w:rsid w:val="009F475A"/>
    <w:rsid w:val="009F5152"/>
    <w:rsid w:val="009F5D78"/>
    <w:rsid w:val="009F6386"/>
    <w:rsid w:val="00A01202"/>
    <w:rsid w:val="00A0248E"/>
    <w:rsid w:val="00A0579F"/>
    <w:rsid w:val="00A069F1"/>
    <w:rsid w:val="00A06FDE"/>
    <w:rsid w:val="00A13B6C"/>
    <w:rsid w:val="00A142ED"/>
    <w:rsid w:val="00A15FB1"/>
    <w:rsid w:val="00A16F40"/>
    <w:rsid w:val="00A211DA"/>
    <w:rsid w:val="00A22799"/>
    <w:rsid w:val="00A22CA4"/>
    <w:rsid w:val="00A23D14"/>
    <w:rsid w:val="00A24D1E"/>
    <w:rsid w:val="00A25B1C"/>
    <w:rsid w:val="00A303D1"/>
    <w:rsid w:val="00A32BB7"/>
    <w:rsid w:val="00A334C5"/>
    <w:rsid w:val="00A34E97"/>
    <w:rsid w:val="00A374C4"/>
    <w:rsid w:val="00A40926"/>
    <w:rsid w:val="00A40A31"/>
    <w:rsid w:val="00A40A56"/>
    <w:rsid w:val="00A40DA2"/>
    <w:rsid w:val="00A41364"/>
    <w:rsid w:val="00A448F9"/>
    <w:rsid w:val="00A468E4"/>
    <w:rsid w:val="00A4743A"/>
    <w:rsid w:val="00A47AA5"/>
    <w:rsid w:val="00A5060F"/>
    <w:rsid w:val="00A51226"/>
    <w:rsid w:val="00A53DFA"/>
    <w:rsid w:val="00A54E6C"/>
    <w:rsid w:val="00A5705B"/>
    <w:rsid w:val="00A570AF"/>
    <w:rsid w:val="00A57A8B"/>
    <w:rsid w:val="00A6118B"/>
    <w:rsid w:val="00A627AA"/>
    <w:rsid w:val="00A638AE"/>
    <w:rsid w:val="00A66F9C"/>
    <w:rsid w:val="00A67CFF"/>
    <w:rsid w:val="00A7213C"/>
    <w:rsid w:val="00A72416"/>
    <w:rsid w:val="00A72771"/>
    <w:rsid w:val="00A74331"/>
    <w:rsid w:val="00A74E40"/>
    <w:rsid w:val="00A75634"/>
    <w:rsid w:val="00A76351"/>
    <w:rsid w:val="00A824E9"/>
    <w:rsid w:val="00A83C6E"/>
    <w:rsid w:val="00A83F61"/>
    <w:rsid w:val="00A843FA"/>
    <w:rsid w:val="00A84E5F"/>
    <w:rsid w:val="00A8600D"/>
    <w:rsid w:val="00A876DF"/>
    <w:rsid w:val="00A87A25"/>
    <w:rsid w:val="00A97280"/>
    <w:rsid w:val="00AA2832"/>
    <w:rsid w:val="00AA5405"/>
    <w:rsid w:val="00AA5CF6"/>
    <w:rsid w:val="00AA6322"/>
    <w:rsid w:val="00AA6A64"/>
    <w:rsid w:val="00AB0899"/>
    <w:rsid w:val="00AB32F0"/>
    <w:rsid w:val="00AB3DAE"/>
    <w:rsid w:val="00AB3E7A"/>
    <w:rsid w:val="00AB6A62"/>
    <w:rsid w:val="00AB7249"/>
    <w:rsid w:val="00AB7FEB"/>
    <w:rsid w:val="00AC0F39"/>
    <w:rsid w:val="00AC1458"/>
    <w:rsid w:val="00AC31FD"/>
    <w:rsid w:val="00AC4B26"/>
    <w:rsid w:val="00AC515E"/>
    <w:rsid w:val="00AC6ADA"/>
    <w:rsid w:val="00AD097F"/>
    <w:rsid w:val="00AD0EC3"/>
    <w:rsid w:val="00AD1684"/>
    <w:rsid w:val="00AD28A6"/>
    <w:rsid w:val="00AD70B0"/>
    <w:rsid w:val="00AD776B"/>
    <w:rsid w:val="00AE1317"/>
    <w:rsid w:val="00AE1DCA"/>
    <w:rsid w:val="00AE24D5"/>
    <w:rsid w:val="00AE3110"/>
    <w:rsid w:val="00AE6474"/>
    <w:rsid w:val="00AF0AA1"/>
    <w:rsid w:val="00AF0B1E"/>
    <w:rsid w:val="00AF1420"/>
    <w:rsid w:val="00AF173E"/>
    <w:rsid w:val="00AF344A"/>
    <w:rsid w:val="00AF5A3C"/>
    <w:rsid w:val="00AF680F"/>
    <w:rsid w:val="00AF6A68"/>
    <w:rsid w:val="00AF7F0D"/>
    <w:rsid w:val="00B0044A"/>
    <w:rsid w:val="00B007AE"/>
    <w:rsid w:val="00B101BF"/>
    <w:rsid w:val="00B10D5F"/>
    <w:rsid w:val="00B10D9E"/>
    <w:rsid w:val="00B11988"/>
    <w:rsid w:val="00B14D7D"/>
    <w:rsid w:val="00B15476"/>
    <w:rsid w:val="00B177AE"/>
    <w:rsid w:val="00B22D8A"/>
    <w:rsid w:val="00B23A09"/>
    <w:rsid w:val="00B25599"/>
    <w:rsid w:val="00B30511"/>
    <w:rsid w:val="00B32097"/>
    <w:rsid w:val="00B3320F"/>
    <w:rsid w:val="00B33D16"/>
    <w:rsid w:val="00B35012"/>
    <w:rsid w:val="00B3512C"/>
    <w:rsid w:val="00B35131"/>
    <w:rsid w:val="00B358BF"/>
    <w:rsid w:val="00B35EB4"/>
    <w:rsid w:val="00B377E3"/>
    <w:rsid w:val="00B41D05"/>
    <w:rsid w:val="00B42783"/>
    <w:rsid w:val="00B45532"/>
    <w:rsid w:val="00B4666A"/>
    <w:rsid w:val="00B46CDB"/>
    <w:rsid w:val="00B51C90"/>
    <w:rsid w:val="00B520E9"/>
    <w:rsid w:val="00B52A92"/>
    <w:rsid w:val="00B5711B"/>
    <w:rsid w:val="00B572F4"/>
    <w:rsid w:val="00B60AE6"/>
    <w:rsid w:val="00B60CCB"/>
    <w:rsid w:val="00B630E3"/>
    <w:rsid w:val="00B6570F"/>
    <w:rsid w:val="00B65D3D"/>
    <w:rsid w:val="00B661AC"/>
    <w:rsid w:val="00B66C46"/>
    <w:rsid w:val="00B70259"/>
    <w:rsid w:val="00B70A1C"/>
    <w:rsid w:val="00B71416"/>
    <w:rsid w:val="00B7145C"/>
    <w:rsid w:val="00B73EEB"/>
    <w:rsid w:val="00B74BA2"/>
    <w:rsid w:val="00B74F97"/>
    <w:rsid w:val="00B754C9"/>
    <w:rsid w:val="00B75F06"/>
    <w:rsid w:val="00B77357"/>
    <w:rsid w:val="00B858F4"/>
    <w:rsid w:val="00B85BC2"/>
    <w:rsid w:val="00B86160"/>
    <w:rsid w:val="00B863EA"/>
    <w:rsid w:val="00B90A8A"/>
    <w:rsid w:val="00B9108D"/>
    <w:rsid w:val="00B91F36"/>
    <w:rsid w:val="00B92228"/>
    <w:rsid w:val="00B9610B"/>
    <w:rsid w:val="00B9624E"/>
    <w:rsid w:val="00B9718B"/>
    <w:rsid w:val="00B9785C"/>
    <w:rsid w:val="00BA1055"/>
    <w:rsid w:val="00BA13C7"/>
    <w:rsid w:val="00BA1C56"/>
    <w:rsid w:val="00BA340D"/>
    <w:rsid w:val="00BA3818"/>
    <w:rsid w:val="00BA3946"/>
    <w:rsid w:val="00BA457C"/>
    <w:rsid w:val="00BA5408"/>
    <w:rsid w:val="00BA616A"/>
    <w:rsid w:val="00BA7907"/>
    <w:rsid w:val="00BB0212"/>
    <w:rsid w:val="00BB02D4"/>
    <w:rsid w:val="00BB06EB"/>
    <w:rsid w:val="00BB074A"/>
    <w:rsid w:val="00BB5E5A"/>
    <w:rsid w:val="00BB64C6"/>
    <w:rsid w:val="00BB65C7"/>
    <w:rsid w:val="00BB76F6"/>
    <w:rsid w:val="00BB7902"/>
    <w:rsid w:val="00BC3787"/>
    <w:rsid w:val="00BC3A86"/>
    <w:rsid w:val="00BC4FA6"/>
    <w:rsid w:val="00BC576E"/>
    <w:rsid w:val="00BC5B0F"/>
    <w:rsid w:val="00BD05BF"/>
    <w:rsid w:val="00BD14E7"/>
    <w:rsid w:val="00BD1AB0"/>
    <w:rsid w:val="00BD1B46"/>
    <w:rsid w:val="00BD43CD"/>
    <w:rsid w:val="00BD4824"/>
    <w:rsid w:val="00BD7B91"/>
    <w:rsid w:val="00BE22BD"/>
    <w:rsid w:val="00BE269C"/>
    <w:rsid w:val="00BE4DE4"/>
    <w:rsid w:val="00BE7187"/>
    <w:rsid w:val="00BF13BE"/>
    <w:rsid w:val="00BF38CF"/>
    <w:rsid w:val="00BF4EDE"/>
    <w:rsid w:val="00BF53F2"/>
    <w:rsid w:val="00BF754B"/>
    <w:rsid w:val="00C00D2A"/>
    <w:rsid w:val="00C02962"/>
    <w:rsid w:val="00C029CE"/>
    <w:rsid w:val="00C039B5"/>
    <w:rsid w:val="00C03A94"/>
    <w:rsid w:val="00C03B6E"/>
    <w:rsid w:val="00C04C2F"/>
    <w:rsid w:val="00C06203"/>
    <w:rsid w:val="00C10C57"/>
    <w:rsid w:val="00C11073"/>
    <w:rsid w:val="00C11AA6"/>
    <w:rsid w:val="00C15704"/>
    <w:rsid w:val="00C17235"/>
    <w:rsid w:val="00C20B77"/>
    <w:rsid w:val="00C22439"/>
    <w:rsid w:val="00C23D69"/>
    <w:rsid w:val="00C26F97"/>
    <w:rsid w:val="00C2773C"/>
    <w:rsid w:val="00C30B23"/>
    <w:rsid w:val="00C3315C"/>
    <w:rsid w:val="00C33283"/>
    <w:rsid w:val="00C34BA5"/>
    <w:rsid w:val="00C353C8"/>
    <w:rsid w:val="00C35A54"/>
    <w:rsid w:val="00C379E5"/>
    <w:rsid w:val="00C41764"/>
    <w:rsid w:val="00C4285B"/>
    <w:rsid w:val="00C4433E"/>
    <w:rsid w:val="00C44462"/>
    <w:rsid w:val="00C5283A"/>
    <w:rsid w:val="00C561DB"/>
    <w:rsid w:val="00C56B85"/>
    <w:rsid w:val="00C607C2"/>
    <w:rsid w:val="00C63D77"/>
    <w:rsid w:val="00C663F8"/>
    <w:rsid w:val="00C7272D"/>
    <w:rsid w:val="00C727DC"/>
    <w:rsid w:val="00C76C24"/>
    <w:rsid w:val="00C776B6"/>
    <w:rsid w:val="00C77D24"/>
    <w:rsid w:val="00C83686"/>
    <w:rsid w:val="00C852A0"/>
    <w:rsid w:val="00C855CA"/>
    <w:rsid w:val="00C85A06"/>
    <w:rsid w:val="00C87EB2"/>
    <w:rsid w:val="00C90103"/>
    <w:rsid w:val="00C90CEC"/>
    <w:rsid w:val="00C90D0E"/>
    <w:rsid w:val="00C91211"/>
    <w:rsid w:val="00C91C54"/>
    <w:rsid w:val="00C91C74"/>
    <w:rsid w:val="00C937CC"/>
    <w:rsid w:val="00C9452E"/>
    <w:rsid w:val="00C948CA"/>
    <w:rsid w:val="00C97FD1"/>
    <w:rsid w:val="00CA04E4"/>
    <w:rsid w:val="00CA11A4"/>
    <w:rsid w:val="00CA1266"/>
    <w:rsid w:val="00CA224A"/>
    <w:rsid w:val="00CA3910"/>
    <w:rsid w:val="00CA49D7"/>
    <w:rsid w:val="00CB18A1"/>
    <w:rsid w:val="00CB1E3B"/>
    <w:rsid w:val="00CB399A"/>
    <w:rsid w:val="00CB4464"/>
    <w:rsid w:val="00CC07AC"/>
    <w:rsid w:val="00CC0B60"/>
    <w:rsid w:val="00CC55C5"/>
    <w:rsid w:val="00CC7BC0"/>
    <w:rsid w:val="00CD077F"/>
    <w:rsid w:val="00CD07AA"/>
    <w:rsid w:val="00CD0ECA"/>
    <w:rsid w:val="00CD2EAB"/>
    <w:rsid w:val="00CD332D"/>
    <w:rsid w:val="00CD4994"/>
    <w:rsid w:val="00CD4BDC"/>
    <w:rsid w:val="00CE0E73"/>
    <w:rsid w:val="00CE1486"/>
    <w:rsid w:val="00CE4F07"/>
    <w:rsid w:val="00CE628C"/>
    <w:rsid w:val="00CE6733"/>
    <w:rsid w:val="00CE6E16"/>
    <w:rsid w:val="00CE7E42"/>
    <w:rsid w:val="00CF00EB"/>
    <w:rsid w:val="00CF0C15"/>
    <w:rsid w:val="00CF0E7B"/>
    <w:rsid w:val="00CF10F1"/>
    <w:rsid w:val="00CF1F1C"/>
    <w:rsid w:val="00CF3D14"/>
    <w:rsid w:val="00CF478A"/>
    <w:rsid w:val="00CF60F4"/>
    <w:rsid w:val="00CF6163"/>
    <w:rsid w:val="00CF6E92"/>
    <w:rsid w:val="00CF7928"/>
    <w:rsid w:val="00D017B6"/>
    <w:rsid w:val="00D02382"/>
    <w:rsid w:val="00D03AB2"/>
    <w:rsid w:val="00D053D7"/>
    <w:rsid w:val="00D06CC1"/>
    <w:rsid w:val="00D07A79"/>
    <w:rsid w:val="00D10E46"/>
    <w:rsid w:val="00D1589F"/>
    <w:rsid w:val="00D17B5F"/>
    <w:rsid w:val="00D216DD"/>
    <w:rsid w:val="00D2391E"/>
    <w:rsid w:val="00D26A2B"/>
    <w:rsid w:val="00D26D2C"/>
    <w:rsid w:val="00D26D76"/>
    <w:rsid w:val="00D30C4C"/>
    <w:rsid w:val="00D31030"/>
    <w:rsid w:val="00D33D8B"/>
    <w:rsid w:val="00D34DDE"/>
    <w:rsid w:val="00D351A6"/>
    <w:rsid w:val="00D356E9"/>
    <w:rsid w:val="00D35C7E"/>
    <w:rsid w:val="00D3645B"/>
    <w:rsid w:val="00D37A94"/>
    <w:rsid w:val="00D43C7D"/>
    <w:rsid w:val="00D43FCA"/>
    <w:rsid w:val="00D4415E"/>
    <w:rsid w:val="00D452AE"/>
    <w:rsid w:val="00D469C5"/>
    <w:rsid w:val="00D46A86"/>
    <w:rsid w:val="00D46B75"/>
    <w:rsid w:val="00D47C07"/>
    <w:rsid w:val="00D50E1C"/>
    <w:rsid w:val="00D52C2B"/>
    <w:rsid w:val="00D52D26"/>
    <w:rsid w:val="00D541E3"/>
    <w:rsid w:val="00D6023D"/>
    <w:rsid w:val="00D62537"/>
    <w:rsid w:val="00D6550E"/>
    <w:rsid w:val="00D65C0F"/>
    <w:rsid w:val="00D66FD2"/>
    <w:rsid w:val="00D71095"/>
    <w:rsid w:val="00D71F8E"/>
    <w:rsid w:val="00D72A29"/>
    <w:rsid w:val="00D72E67"/>
    <w:rsid w:val="00D73A14"/>
    <w:rsid w:val="00D76134"/>
    <w:rsid w:val="00D81778"/>
    <w:rsid w:val="00D82389"/>
    <w:rsid w:val="00D84187"/>
    <w:rsid w:val="00D85209"/>
    <w:rsid w:val="00D85DDE"/>
    <w:rsid w:val="00D85FA8"/>
    <w:rsid w:val="00D862E6"/>
    <w:rsid w:val="00D87840"/>
    <w:rsid w:val="00D914CE"/>
    <w:rsid w:val="00D9193D"/>
    <w:rsid w:val="00D91F01"/>
    <w:rsid w:val="00D9290E"/>
    <w:rsid w:val="00D93633"/>
    <w:rsid w:val="00D93AFF"/>
    <w:rsid w:val="00D94B2A"/>
    <w:rsid w:val="00D94E1E"/>
    <w:rsid w:val="00D96BAB"/>
    <w:rsid w:val="00DA1185"/>
    <w:rsid w:val="00DA33C0"/>
    <w:rsid w:val="00DA5BA4"/>
    <w:rsid w:val="00DA649C"/>
    <w:rsid w:val="00DA73B9"/>
    <w:rsid w:val="00DB08FE"/>
    <w:rsid w:val="00DB0C11"/>
    <w:rsid w:val="00DB0D7B"/>
    <w:rsid w:val="00DB1F57"/>
    <w:rsid w:val="00DB2337"/>
    <w:rsid w:val="00DB4627"/>
    <w:rsid w:val="00DB47D4"/>
    <w:rsid w:val="00DB4BF6"/>
    <w:rsid w:val="00DB4D47"/>
    <w:rsid w:val="00DB627D"/>
    <w:rsid w:val="00DB7851"/>
    <w:rsid w:val="00DC1CBA"/>
    <w:rsid w:val="00DC620B"/>
    <w:rsid w:val="00DD0C94"/>
    <w:rsid w:val="00DD0D44"/>
    <w:rsid w:val="00DD2510"/>
    <w:rsid w:val="00DD30B7"/>
    <w:rsid w:val="00DD7039"/>
    <w:rsid w:val="00DE0871"/>
    <w:rsid w:val="00DE3563"/>
    <w:rsid w:val="00DE521D"/>
    <w:rsid w:val="00DE5304"/>
    <w:rsid w:val="00DF0EC7"/>
    <w:rsid w:val="00DF1035"/>
    <w:rsid w:val="00DF1A5B"/>
    <w:rsid w:val="00DF4610"/>
    <w:rsid w:val="00DF55AE"/>
    <w:rsid w:val="00DF6162"/>
    <w:rsid w:val="00DF7AA2"/>
    <w:rsid w:val="00E03A04"/>
    <w:rsid w:val="00E03A80"/>
    <w:rsid w:val="00E050E3"/>
    <w:rsid w:val="00E059A5"/>
    <w:rsid w:val="00E07DE5"/>
    <w:rsid w:val="00E11A57"/>
    <w:rsid w:val="00E1208D"/>
    <w:rsid w:val="00E12594"/>
    <w:rsid w:val="00E12935"/>
    <w:rsid w:val="00E1473F"/>
    <w:rsid w:val="00E14D09"/>
    <w:rsid w:val="00E16B9D"/>
    <w:rsid w:val="00E1728F"/>
    <w:rsid w:val="00E17BAD"/>
    <w:rsid w:val="00E21487"/>
    <w:rsid w:val="00E22020"/>
    <w:rsid w:val="00E23BEB"/>
    <w:rsid w:val="00E25023"/>
    <w:rsid w:val="00E25F24"/>
    <w:rsid w:val="00E26938"/>
    <w:rsid w:val="00E317D7"/>
    <w:rsid w:val="00E319E7"/>
    <w:rsid w:val="00E37353"/>
    <w:rsid w:val="00E40366"/>
    <w:rsid w:val="00E40C81"/>
    <w:rsid w:val="00E41D74"/>
    <w:rsid w:val="00E427DE"/>
    <w:rsid w:val="00E43A7E"/>
    <w:rsid w:val="00E449DE"/>
    <w:rsid w:val="00E45605"/>
    <w:rsid w:val="00E45AB5"/>
    <w:rsid w:val="00E46931"/>
    <w:rsid w:val="00E4738D"/>
    <w:rsid w:val="00E5509F"/>
    <w:rsid w:val="00E56ADD"/>
    <w:rsid w:val="00E578AF"/>
    <w:rsid w:val="00E60C69"/>
    <w:rsid w:val="00E613B2"/>
    <w:rsid w:val="00E62F4D"/>
    <w:rsid w:val="00E6328C"/>
    <w:rsid w:val="00E63857"/>
    <w:rsid w:val="00E63FF3"/>
    <w:rsid w:val="00E648EB"/>
    <w:rsid w:val="00E6569E"/>
    <w:rsid w:val="00E703A5"/>
    <w:rsid w:val="00E704C4"/>
    <w:rsid w:val="00E70D09"/>
    <w:rsid w:val="00E71C11"/>
    <w:rsid w:val="00E72BCE"/>
    <w:rsid w:val="00E741C0"/>
    <w:rsid w:val="00E744A4"/>
    <w:rsid w:val="00E75D6F"/>
    <w:rsid w:val="00E809B8"/>
    <w:rsid w:val="00E80E05"/>
    <w:rsid w:val="00E82AB9"/>
    <w:rsid w:val="00E82B3F"/>
    <w:rsid w:val="00E82FA1"/>
    <w:rsid w:val="00E8318D"/>
    <w:rsid w:val="00E83606"/>
    <w:rsid w:val="00E8512B"/>
    <w:rsid w:val="00E85C5F"/>
    <w:rsid w:val="00E90231"/>
    <w:rsid w:val="00E905E1"/>
    <w:rsid w:val="00E9074A"/>
    <w:rsid w:val="00E909EE"/>
    <w:rsid w:val="00E92713"/>
    <w:rsid w:val="00E94209"/>
    <w:rsid w:val="00E9424F"/>
    <w:rsid w:val="00E956BF"/>
    <w:rsid w:val="00E95E17"/>
    <w:rsid w:val="00EA0DC9"/>
    <w:rsid w:val="00EA3BC6"/>
    <w:rsid w:val="00EA6B1C"/>
    <w:rsid w:val="00EA6FB1"/>
    <w:rsid w:val="00EB04A3"/>
    <w:rsid w:val="00EB252E"/>
    <w:rsid w:val="00EB359F"/>
    <w:rsid w:val="00EB38A3"/>
    <w:rsid w:val="00EB3B28"/>
    <w:rsid w:val="00EB3BAC"/>
    <w:rsid w:val="00EB3D03"/>
    <w:rsid w:val="00EB469E"/>
    <w:rsid w:val="00EB6696"/>
    <w:rsid w:val="00EC32A8"/>
    <w:rsid w:val="00EC692F"/>
    <w:rsid w:val="00EC6C46"/>
    <w:rsid w:val="00EC7274"/>
    <w:rsid w:val="00ED281D"/>
    <w:rsid w:val="00ED4C4E"/>
    <w:rsid w:val="00ED5E36"/>
    <w:rsid w:val="00ED643C"/>
    <w:rsid w:val="00ED7086"/>
    <w:rsid w:val="00EE220C"/>
    <w:rsid w:val="00EE57A2"/>
    <w:rsid w:val="00EF0BF3"/>
    <w:rsid w:val="00EF0C10"/>
    <w:rsid w:val="00EF234F"/>
    <w:rsid w:val="00EF3AA0"/>
    <w:rsid w:val="00EF4105"/>
    <w:rsid w:val="00EF45C5"/>
    <w:rsid w:val="00EF6895"/>
    <w:rsid w:val="00EF6AD2"/>
    <w:rsid w:val="00F007B6"/>
    <w:rsid w:val="00F04270"/>
    <w:rsid w:val="00F05D5E"/>
    <w:rsid w:val="00F0737B"/>
    <w:rsid w:val="00F07B61"/>
    <w:rsid w:val="00F10D81"/>
    <w:rsid w:val="00F12258"/>
    <w:rsid w:val="00F145AC"/>
    <w:rsid w:val="00F161F4"/>
    <w:rsid w:val="00F2042C"/>
    <w:rsid w:val="00F21C0E"/>
    <w:rsid w:val="00F24128"/>
    <w:rsid w:val="00F308E0"/>
    <w:rsid w:val="00F3177B"/>
    <w:rsid w:val="00F337B9"/>
    <w:rsid w:val="00F3796B"/>
    <w:rsid w:val="00F41CE4"/>
    <w:rsid w:val="00F42266"/>
    <w:rsid w:val="00F448A2"/>
    <w:rsid w:val="00F44B29"/>
    <w:rsid w:val="00F45C93"/>
    <w:rsid w:val="00F47C2E"/>
    <w:rsid w:val="00F5273F"/>
    <w:rsid w:val="00F53224"/>
    <w:rsid w:val="00F543F7"/>
    <w:rsid w:val="00F5489D"/>
    <w:rsid w:val="00F55086"/>
    <w:rsid w:val="00F56C77"/>
    <w:rsid w:val="00F56CB5"/>
    <w:rsid w:val="00F56D10"/>
    <w:rsid w:val="00F575A0"/>
    <w:rsid w:val="00F60FD4"/>
    <w:rsid w:val="00F61860"/>
    <w:rsid w:val="00F62E86"/>
    <w:rsid w:val="00F6363C"/>
    <w:rsid w:val="00F64977"/>
    <w:rsid w:val="00F6537F"/>
    <w:rsid w:val="00F65577"/>
    <w:rsid w:val="00F702D2"/>
    <w:rsid w:val="00F70881"/>
    <w:rsid w:val="00F70F0C"/>
    <w:rsid w:val="00F72A93"/>
    <w:rsid w:val="00F73D04"/>
    <w:rsid w:val="00F74C32"/>
    <w:rsid w:val="00F750E9"/>
    <w:rsid w:val="00F75783"/>
    <w:rsid w:val="00F76AC3"/>
    <w:rsid w:val="00F77144"/>
    <w:rsid w:val="00F771E4"/>
    <w:rsid w:val="00F80D0D"/>
    <w:rsid w:val="00F81083"/>
    <w:rsid w:val="00F816C5"/>
    <w:rsid w:val="00F83992"/>
    <w:rsid w:val="00F83CE0"/>
    <w:rsid w:val="00F84BE2"/>
    <w:rsid w:val="00F856FF"/>
    <w:rsid w:val="00F868A7"/>
    <w:rsid w:val="00F909ED"/>
    <w:rsid w:val="00F90FBF"/>
    <w:rsid w:val="00F919AB"/>
    <w:rsid w:val="00F93522"/>
    <w:rsid w:val="00F978F7"/>
    <w:rsid w:val="00F97913"/>
    <w:rsid w:val="00FA1E07"/>
    <w:rsid w:val="00FA2B59"/>
    <w:rsid w:val="00FA438F"/>
    <w:rsid w:val="00FA67A6"/>
    <w:rsid w:val="00FA725A"/>
    <w:rsid w:val="00FA790F"/>
    <w:rsid w:val="00FB1212"/>
    <w:rsid w:val="00FB1ABE"/>
    <w:rsid w:val="00FB454F"/>
    <w:rsid w:val="00FC0AAB"/>
    <w:rsid w:val="00FC0AED"/>
    <w:rsid w:val="00FC2E7A"/>
    <w:rsid w:val="00FC4D94"/>
    <w:rsid w:val="00FC4E57"/>
    <w:rsid w:val="00FC74B7"/>
    <w:rsid w:val="00FC7DB3"/>
    <w:rsid w:val="00FD077C"/>
    <w:rsid w:val="00FD16E4"/>
    <w:rsid w:val="00FD307F"/>
    <w:rsid w:val="00FD4AA6"/>
    <w:rsid w:val="00FD602B"/>
    <w:rsid w:val="00FD6088"/>
    <w:rsid w:val="00FD7583"/>
    <w:rsid w:val="00FD79E8"/>
    <w:rsid w:val="00FE06F3"/>
    <w:rsid w:val="00FE16AE"/>
    <w:rsid w:val="00FE2E5F"/>
    <w:rsid w:val="00FE4010"/>
    <w:rsid w:val="00FE469D"/>
    <w:rsid w:val="00FE48F8"/>
    <w:rsid w:val="00FE4C58"/>
    <w:rsid w:val="00FE51FA"/>
    <w:rsid w:val="00FE5B68"/>
    <w:rsid w:val="00FE67AA"/>
    <w:rsid w:val="00FE6ABB"/>
    <w:rsid w:val="00FE759F"/>
    <w:rsid w:val="00FE775D"/>
    <w:rsid w:val="00FE7FBA"/>
    <w:rsid w:val="00FF1F43"/>
    <w:rsid w:val="00FF29CF"/>
    <w:rsid w:val="00FF37DE"/>
    <w:rsid w:val="00FF5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9EBB9"/>
  <w14:defaultImageDpi w14:val="0"/>
  <w15:docId w15:val="{5556B649-3336-4CB6-A03C-82A8638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ny">
    <w:name w:val="Normal"/>
    <w:qFormat/>
    <w:rsid w:val="0020416A"/>
    <w:pPr>
      <w:suppressAutoHyphens/>
      <w:spacing w:line="360" w:lineRule="auto"/>
    </w:pPr>
    <w:rPr>
      <w:rFonts w:ascii="Times New Roman" w:hAnsi="Times New Roman"/>
      <w:color w:val="000000"/>
      <w:sz w:val="24"/>
      <w:szCs w:val="24"/>
      <w:lang w:eastAsia="en-US"/>
    </w:rPr>
  </w:style>
  <w:style w:type="paragraph" w:styleId="Nagwek1">
    <w:name w:val="heading 1"/>
    <w:basedOn w:val="Normalny"/>
    <w:next w:val="Normalny"/>
    <w:link w:val="Nagwek1Znak"/>
    <w:uiPriority w:val="99"/>
    <w:qFormat/>
    <w:rsid w:val="00B70A1C"/>
    <w:pPr>
      <w:keepNext/>
      <w:keepLines/>
      <w:framePr w:wrap="notBeside" w:hAnchor="text"/>
      <w:numPr>
        <w:numId w:val="1"/>
      </w:numPr>
      <w:spacing w:line="240" w:lineRule="auto"/>
      <w:ind w:left="431" w:hanging="431"/>
      <w:outlineLvl w:val="0"/>
    </w:pPr>
    <w:rPr>
      <w:sz w:val="28"/>
      <w:szCs w:val="28"/>
    </w:rPr>
  </w:style>
  <w:style w:type="paragraph" w:styleId="Nagwek2">
    <w:name w:val="heading 2"/>
    <w:basedOn w:val="Normalny"/>
    <w:next w:val="Normalny"/>
    <w:link w:val="Nagwek2Znak"/>
    <w:uiPriority w:val="99"/>
    <w:qFormat/>
    <w:rsid w:val="002B78A5"/>
    <w:pPr>
      <w:keepNext/>
      <w:keepLines/>
      <w:framePr w:wrap="notBeside" w:hAnchor="text"/>
      <w:numPr>
        <w:ilvl w:val="1"/>
        <w:numId w:val="1"/>
      </w:numPr>
      <w:spacing w:line="240" w:lineRule="auto"/>
      <w:ind w:left="578" w:hanging="578"/>
      <w:outlineLvl w:val="1"/>
    </w:pPr>
    <w:rPr>
      <w:b/>
      <w:bCs/>
    </w:rPr>
  </w:style>
  <w:style w:type="paragraph" w:styleId="Nagwek3">
    <w:name w:val="heading 3"/>
    <w:basedOn w:val="Normalny"/>
    <w:next w:val="Normalny"/>
    <w:link w:val="Nagwek3Znak"/>
    <w:uiPriority w:val="99"/>
    <w:qFormat/>
    <w:rsid w:val="008B618E"/>
    <w:pPr>
      <w:keepNext/>
      <w:keepLines/>
      <w:framePr w:wrap="notBeside" w:hAnchor="text"/>
      <w:numPr>
        <w:ilvl w:val="2"/>
        <w:numId w:val="1"/>
      </w:numPr>
      <w:outlineLvl w:val="2"/>
    </w:pPr>
    <w:rPr>
      <w:b/>
      <w:bCs/>
      <w:color w:val="auto"/>
    </w:rPr>
  </w:style>
  <w:style w:type="paragraph" w:styleId="Nagwek4">
    <w:name w:val="heading 4"/>
    <w:basedOn w:val="Normalny"/>
    <w:next w:val="Normalny"/>
    <w:link w:val="Nagwek4Znak"/>
    <w:uiPriority w:val="99"/>
    <w:qFormat/>
    <w:rsid w:val="008B618E"/>
    <w:pPr>
      <w:keepNext/>
      <w:keepLines/>
      <w:framePr w:wrap="notBeside" w:hAnchor="text"/>
      <w:numPr>
        <w:ilvl w:val="3"/>
        <w:numId w:val="1"/>
      </w:numPr>
      <w:outlineLvl w:val="3"/>
    </w:pPr>
    <w:rPr>
      <w:b/>
      <w:bCs/>
    </w:rPr>
  </w:style>
  <w:style w:type="paragraph" w:styleId="Nagwek5">
    <w:name w:val="heading 5"/>
    <w:basedOn w:val="Normalny"/>
    <w:next w:val="Normalny"/>
    <w:link w:val="Nagwek5Znak"/>
    <w:uiPriority w:val="99"/>
    <w:qFormat/>
    <w:rsid w:val="008B618E"/>
    <w:pPr>
      <w:keepNext/>
      <w:keepLines/>
      <w:framePr w:wrap="notBeside" w:hAnchor="text"/>
      <w:numPr>
        <w:ilvl w:val="4"/>
        <w:numId w:val="1"/>
      </w:numPr>
      <w:outlineLvl w:val="4"/>
    </w:pPr>
    <w:rPr>
      <w:b/>
      <w:bCs/>
    </w:rPr>
  </w:style>
  <w:style w:type="paragraph" w:styleId="Nagwek6">
    <w:name w:val="heading 6"/>
    <w:basedOn w:val="Normalny"/>
    <w:next w:val="Normalny"/>
    <w:link w:val="Nagwek6Znak"/>
    <w:uiPriority w:val="99"/>
    <w:qFormat/>
    <w:rsid w:val="0052057B"/>
    <w:pPr>
      <w:keepNext/>
      <w:keepLines/>
      <w:framePr w:wrap="notBeside" w:hAnchor="text"/>
      <w:numPr>
        <w:ilvl w:val="5"/>
        <w:numId w:val="1"/>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52057B"/>
    <w:pPr>
      <w:keepNext/>
      <w:keepLines/>
      <w:framePr w:wrap="notBeside" w:hAnchor="text"/>
      <w:numPr>
        <w:ilvl w:val="6"/>
        <w:numId w:val="1"/>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52057B"/>
    <w:pPr>
      <w:keepNext/>
      <w:keepLines/>
      <w:framePr w:wrap="notBeside" w:hAnchor="text"/>
      <w:numPr>
        <w:ilvl w:val="7"/>
        <w:numId w:val="1"/>
      </w:numPr>
      <w:spacing w:before="200"/>
      <w:outlineLvl w:val="7"/>
    </w:pPr>
    <w:rPr>
      <w:rFonts w:ascii="Cambria" w:hAnsi="Cambria" w:cs="Cambria"/>
      <w:color w:val="4F81BD"/>
      <w:sz w:val="20"/>
      <w:szCs w:val="20"/>
    </w:rPr>
  </w:style>
  <w:style w:type="paragraph" w:styleId="Nagwek9">
    <w:name w:val="heading 9"/>
    <w:basedOn w:val="Normalny"/>
    <w:next w:val="Normalny"/>
    <w:link w:val="Nagwek9Znak"/>
    <w:uiPriority w:val="99"/>
    <w:qFormat/>
    <w:rsid w:val="0052057B"/>
    <w:pPr>
      <w:keepNext/>
      <w:keepLines/>
      <w:framePr w:wrap="notBeside" w:hAnchor="text"/>
      <w:numPr>
        <w:ilvl w:val="8"/>
        <w:numId w:val="1"/>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70A1C"/>
    <w:rPr>
      <w:rFonts w:ascii="Times New Roman" w:hAnsi="Times New Roman" w:cs="Times New Roman"/>
      <w:color w:val="000000"/>
      <w:sz w:val="28"/>
      <w:szCs w:val="28"/>
      <w:lang w:val="pl-PL" w:eastAsia="x-none"/>
    </w:rPr>
  </w:style>
  <w:style w:type="character" w:customStyle="1" w:styleId="Nagwek2Znak">
    <w:name w:val="Nagłówek 2 Znak"/>
    <w:link w:val="Nagwek2"/>
    <w:uiPriority w:val="99"/>
    <w:rsid w:val="002B78A5"/>
    <w:rPr>
      <w:rFonts w:ascii="Times New Roman" w:hAnsi="Times New Roman" w:cs="Times New Roman"/>
      <w:b/>
      <w:bCs/>
      <w:color w:val="000000"/>
      <w:sz w:val="26"/>
      <w:szCs w:val="26"/>
      <w:lang w:val="pl-PL" w:eastAsia="x-none"/>
    </w:rPr>
  </w:style>
  <w:style w:type="character" w:customStyle="1" w:styleId="Nagwek3Znak">
    <w:name w:val="Nagłówek 3 Znak"/>
    <w:link w:val="Nagwek3"/>
    <w:uiPriority w:val="99"/>
    <w:rsid w:val="008B618E"/>
    <w:rPr>
      <w:rFonts w:ascii="Times New Roman" w:hAnsi="Times New Roman" w:cs="Times New Roman"/>
      <w:b/>
      <w:bCs/>
      <w:sz w:val="24"/>
      <w:szCs w:val="24"/>
      <w:lang w:val="pl-PL" w:eastAsia="x-none"/>
    </w:rPr>
  </w:style>
  <w:style w:type="character" w:customStyle="1" w:styleId="Nagwek4Znak">
    <w:name w:val="Nagłówek 4 Znak"/>
    <w:link w:val="Nagwek4"/>
    <w:uiPriority w:val="99"/>
    <w:rsid w:val="008B618E"/>
    <w:rPr>
      <w:rFonts w:ascii="Times New Roman" w:hAnsi="Times New Roman" w:cs="Times New Roman"/>
      <w:b/>
      <w:bCs/>
      <w:color w:val="000000"/>
      <w:sz w:val="24"/>
      <w:szCs w:val="24"/>
      <w:lang w:val="pl-PL" w:eastAsia="x-none"/>
    </w:rPr>
  </w:style>
  <w:style w:type="character" w:customStyle="1" w:styleId="Nagwek5Znak">
    <w:name w:val="Nagłówek 5 Znak"/>
    <w:link w:val="Nagwek5"/>
    <w:uiPriority w:val="99"/>
    <w:rsid w:val="008B618E"/>
    <w:rPr>
      <w:rFonts w:ascii="Times New Roman" w:hAnsi="Times New Roman" w:cs="Times New Roman"/>
      <w:b/>
      <w:bCs/>
      <w:color w:val="000000"/>
      <w:sz w:val="24"/>
      <w:szCs w:val="24"/>
      <w:lang w:val="pl-PL" w:eastAsia="x-none"/>
    </w:rPr>
  </w:style>
  <w:style w:type="character" w:customStyle="1" w:styleId="Nagwek6Znak">
    <w:name w:val="Nagłówek 6 Znak"/>
    <w:link w:val="Nagwek6"/>
    <w:uiPriority w:val="99"/>
    <w:rsid w:val="0052057B"/>
    <w:rPr>
      <w:rFonts w:ascii="Cambria" w:hAnsi="Cambria" w:cs="Cambria"/>
      <w:i/>
      <w:iCs/>
      <w:color w:val="243F60"/>
      <w:sz w:val="24"/>
      <w:szCs w:val="24"/>
      <w:lang w:val="pl-PL" w:eastAsia="x-none"/>
    </w:rPr>
  </w:style>
  <w:style w:type="character" w:customStyle="1" w:styleId="Nagwek7Znak">
    <w:name w:val="Nagłówek 7 Znak"/>
    <w:link w:val="Nagwek7"/>
    <w:uiPriority w:val="99"/>
    <w:rsid w:val="0052057B"/>
    <w:rPr>
      <w:rFonts w:ascii="Cambria" w:hAnsi="Cambria" w:cs="Cambria"/>
      <w:i/>
      <w:iCs/>
      <w:color w:val="404040"/>
      <w:sz w:val="24"/>
      <w:szCs w:val="24"/>
      <w:lang w:val="pl-PL" w:eastAsia="x-none"/>
    </w:rPr>
  </w:style>
  <w:style w:type="character" w:customStyle="1" w:styleId="Nagwek8Znak">
    <w:name w:val="Nagłówek 8 Znak"/>
    <w:link w:val="Nagwek8"/>
    <w:uiPriority w:val="99"/>
    <w:rsid w:val="0052057B"/>
    <w:rPr>
      <w:rFonts w:ascii="Cambria" w:hAnsi="Cambria" w:cs="Cambria"/>
      <w:color w:val="4F81BD"/>
      <w:sz w:val="20"/>
      <w:szCs w:val="20"/>
      <w:lang w:val="pl-PL" w:eastAsia="x-none"/>
    </w:rPr>
  </w:style>
  <w:style w:type="character" w:customStyle="1" w:styleId="Nagwek9Znak">
    <w:name w:val="Nagłówek 9 Znak"/>
    <w:link w:val="Nagwek9"/>
    <w:uiPriority w:val="99"/>
    <w:semiHidden/>
    <w:rsid w:val="0052057B"/>
    <w:rPr>
      <w:rFonts w:ascii="Cambria" w:hAnsi="Cambria" w:cs="Cambria"/>
      <w:i/>
      <w:iCs/>
      <w:color w:val="404040"/>
      <w:sz w:val="20"/>
      <w:szCs w:val="20"/>
      <w:lang w:val="pl-PL" w:eastAsia="x-none"/>
    </w:rPr>
  </w:style>
  <w:style w:type="paragraph" w:styleId="Bezodstpw">
    <w:name w:val="No Spacing"/>
    <w:link w:val="BezodstpwZnak"/>
    <w:uiPriority w:val="99"/>
    <w:qFormat/>
    <w:rsid w:val="0052057B"/>
    <w:rPr>
      <w:rFonts w:cs="Calibri"/>
      <w:sz w:val="22"/>
      <w:szCs w:val="22"/>
      <w:lang w:val="en-US" w:eastAsia="en-US"/>
    </w:rPr>
  </w:style>
  <w:style w:type="character" w:customStyle="1" w:styleId="BezodstpwZnak">
    <w:name w:val="Bez odstępów Znak"/>
    <w:basedOn w:val="Domylnaczcionkaakapitu"/>
    <w:link w:val="Bezodstpw"/>
    <w:uiPriority w:val="99"/>
    <w:rsid w:val="002D5C29"/>
  </w:style>
  <w:style w:type="paragraph" w:styleId="Tekstdymka">
    <w:name w:val="Balloon Text"/>
    <w:basedOn w:val="Normalny"/>
    <w:link w:val="TekstdymkaZnak"/>
    <w:uiPriority w:val="99"/>
    <w:semiHidden/>
    <w:rsid w:val="002D5C29"/>
    <w:pPr>
      <w:framePr w:wrap="notBeside" w:hAnchor="text"/>
      <w:spacing w:line="240" w:lineRule="auto"/>
    </w:pPr>
    <w:rPr>
      <w:rFonts w:ascii="Tahoma" w:hAnsi="Tahoma" w:cs="Tahoma"/>
      <w:sz w:val="16"/>
      <w:szCs w:val="16"/>
    </w:rPr>
  </w:style>
  <w:style w:type="character" w:customStyle="1" w:styleId="TekstdymkaZnak">
    <w:name w:val="Tekst dymka Znak"/>
    <w:link w:val="Tekstdymka"/>
    <w:uiPriority w:val="99"/>
    <w:semiHidden/>
    <w:rsid w:val="002D5C29"/>
    <w:rPr>
      <w:rFonts w:ascii="Tahoma" w:hAnsi="Tahoma" w:cs="Tahoma"/>
      <w:sz w:val="16"/>
      <w:szCs w:val="16"/>
    </w:rPr>
  </w:style>
  <w:style w:type="paragraph" w:styleId="Nagwek">
    <w:name w:val="header"/>
    <w:basedOn w:val="Normalny"/>
    <w:link w:val="NagwekZnak"/>
    <w:uiPriority w:val="99"/>
    <w:rsid w:val="002D5C29"/>
    <w:pPr>
      <w:framePr w:wrap="notBeside" w:hAnchor="text"/>
      <w:tabs>
        <w:tab w:val="center" w:pos="4536"/>
        <w:tab w:val="right" w:pos="9072"/>
      </w:tabs>
      <w:spacing w:line="240" w:lineRule="auto"/>
    </w:pPr>
  </w:style>
  <w:style w:type="character" w:customStyle="1" w:styleId="NagwekZnak">
    <w:name w:val="Nagłówek Znak"/>
    <w:basedOn w:val="Domylnaczcionkaakapitu"/>
    <w:link w:val="Nagwek"/>
    <w:uiPriority w:val="99"/>
    <w:rsid w:val="002D5C29"/>
  </w:style>
  <w:style w:type="paragraph" w:styleId="Stopka">
    <w:name w:val="footer"/>
    <w:basedOn w:val="Normalny"/>
    <w:link w:val="StopkaZnak"/>
    <w:uiPriority w:val="99"/>
    <w:rsid w:val="002D5C29"/>
    <w:pPr>
      <w:framePr w:wrap="notBeside" w:hAnchor="text"/>
      <w:tabs>
        <w:tab w:val="center" w:pos="4536"/>
        <w:tab w:val="right" w:pos="9072"/>
      </w:tabs>
      <w:spacing w:line="240" w:lineRule="auto"/>
    </w:pPr>
  </w:style>
  <w:style w:type="character" w:customStyle="1" w:styleId="StopkaZnak">
    <w:name w:val="Stopka Znak"/>
    <w:basedOn w:val="Domylnaczcionkaakapitu"/>
    <w:link w:val="Stopka"/>
    <w:uiPriority w:val="99"/>
    <w:rsid w:val="002D5C29"/>
  </w:style>
  <w:style w:type="paragraph" w:styleId="Legenda">
    <w:name w:val="caption"/>
    <w:basedOn w:val="Normalny"/>
    <w:next w:val="Normalny"/>
    <w:uiPriority w:val="99"/>
    <w:qFormat/>
    <w:rsid w:val="0052057B"/>
    <w:pPr>
      <w:framePr w:wrap="notBeside" w:hAnchor="text"/>
      <w:spacing w:line="240" w:lineRule="auto"/>
    </w:pPr>
    <w:rPr>
      <w:b/>
      <w:bCs/>
      <w:color w:val="4F81BD"/>
      <w:sz w:val="18"/>
      <w:szCs w:val="18"/>
    </w:rPr>
  </w:style>
  <w:style w:type="paragraph" w:styleId="Tytu">
    <w:name w:val="Title"/>
    <w:basedOn w:val="Normalny"/>
    <w:next w:val="Normalny"/>
    <w:link w:val="TytuZnak"/>
    <w:uiPriority w:val="99"/>
    <w:qFormat/>
    <w:rsid w:val="0052057B"/>
    <w:pPr>
      <w:framePr w:wrap="notBeside" w:hAnchor="text"/>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ytuZnak">
    <w:name w:val="Tytuł Znak"/>
    <w:link w:val="Tytu"/>
    <w:uiPriority w:val="99"/>
    <w:rsid w:val="0052057B"/>
    <w:rPr>
      <w:rFonts w:ascii="Cambria" w:hAnsi="Cambria" w:cs="Cambria"/>
      <w:color w:val="17365D"/>
      <w:spacing w:val="5"/>
      <w:kern w:val="28"/>
      <w:sz w:val="52"/>
      <w:szCs w:val="52"/>
    </w:rPr>
  </w:style>
  <w:style w:type="paragraph" w:styleId="Podtytu">
    <w:name w:val="Subtitle"/>
    <w:basedOn w:val="Normalny"/>
    <w:next w:val="Normalny"/>
    <w:link w:val="PodtytuZnak"/>
    <w:uiPriority w:val="99"/>
    <w:qFormat/>
    <w:rsid w:val="0052057B"/>
    <w:pPr>
      <w:framePr w:wrap="notBeside" w:hAnchor="text"/>
      <w:numPr>
        <w:ilvl w:val="1"/>
      </w:numPr>
    </w:pPr>
    <w:rPr>
      <w:rFonts w:ascii="Cambria" w:hAnsi="Cambria" w:cs="Cambria"/>
      <w:i/>
      <w:iCs/>
      <w:color w:val="4F81BD"/>
      <w:spacing w:val="15"/>
    </w:rPr>
  </w:style>
  <w:style w:type="character" w:customStyle="1" w:styleId="PodtytuZnak">
    <w:name w:val="Podtytuł Znak"/>
    <w:link w:val="Podtytu"/>
    <w:uiPriority w:val="99"/>
    <w:rsid w:val="0052057B"/>
    <w:rPr>
      <w:rFonts w:ascii="Cambria" w:hAnsi="Cambria" w:cs="Cambria"/>
      <w:i/>
      <w:iCs/>
      <w:color w:val="4F81BD"/>
      <w:spacing w:val="15"/>
      <w:sz w:val="24"/>
      <w:szCs w:val="24"/>
    </w:rPr>
  </w:style>
  <w:style w:type="character" w:styleId="Pogrubienie">
    <w:name w:val="Strong"/>
    <w:uiPriority w:val="99"/>
    <w:qFormat/>
    <w:rsid w:val="0052057B"/>
    <w:rPr>
      <w:b/>
      <w:bCs/>
    </w:rPr>
  </w:style>
  <w:style w:type="character" w:styleId="Uwydatnienie">
    <w:name w:val="Emphasis"/>
    <w:uiPriority w:val="99"/>
    <w:qFormat/>
    <w:rsid w:val="0052057B"/>
    <w:rPr>
      <w:i/>
      <w:iCs/>
    </w:rPr>
  </w:style>
  <w:style w:type="paragraph" w:styleId="Akapitzlist">
    <w:name w:val="List Paragraph"/>
    <w:basedOn w:val="Normalny"/>
    <w:uiPriority w:val="99"/>
    <w:qFormat/>
    <w:rsid w:val="0007354D"/>
    <w:pPr>
      <w:framePr w:wrap="notBeside" w:hAnchor="text"/>
      <w:ind w:left="720"/>
      <w:contextualSpacing/>
      <w:jc w:val="both"/>
    </w:pPr>
  </w:style>
  <w:style w:type="paragraph" w:styleId="Cytat">
    <w:name w:val="Quote"/>
    <w:basedOn w:val="Normalny"/>
    <w:next w:val="Normalny"/>
    <w:link w:val="CytatZnak"/>
    <w:uiPriority w:val="99"/>
    <w:qFormat/>
    <w:rsid w:val="0052057B"/>
    <w:pPr>
      <w:framePr w:wrap="notBeside" w:hAnchor="text"/>
    </w:pPr>
    <w:rPr>
      <w:i/>
      <w:iCs/>
    </w:rPr>
  </w:style>
  <w:style w:type="character" w:customStyle="1" w:styleId="CytatZnak">
    <w:name w:val="Cytat Znak"/>
    <w:link w:val="Cytat"/>
    <w:uiPriority w:val="99"/>
    <w:rsid w:val="0052057B"/>
    <w:rPr>
      <w:i/>
      <w:iCs/>
      <w:color w:val="000000"/>
    </w:rPr>
  </w:style>
  <w:style w:type="paragraph" w:styleId="Cytatintensywny">
    <w:name w:val="Intense Quote"/>
    <w:basedOn w:val="Normalny"/>
    <w:next w:val="Normalny"/>
    <w:link w:val="CytatintensywnyZnak"/>
    <w:uiPriority w:val="99"/>
    <w:qFormat/>
    <w:rsid w:val="0052057B"/>
    <w:pPr>
      <w:framePr w:wrap="notBeside" w:hAnchor="text"/>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rsid w:val="0052057B"/>
    <w:rPr>
      <w:b/>
      <w:bCs/>
      <w:i/>
      <w:iCs/>
      <w:color w:val="4F81BD"/>
    </w:rPr>
  </w:style>
  <w:style w:type="character" w:styleId="Wyrnieniedelikatne">
    <w:name w:val="Subtle Emphasis"/>
    <w:uiPriority w:val="99"/>
    <w:qFormat/>
    <w:rsid w:val="0052057B"/>
    <w:rPr>
      <w:i/>
      <w:iCs/>
      <w:color w:val="808080"/>
    </w:rPr>
  </w:style>
  <w:style w:type="character" w:styleId="Wyrnienieintensywne">
    <w:name w:val="Intense Emphasis"/>
    <w:uiPriority w:val="99"/>
    <w:qFormat/>
    <w:rsid w:val="0052057B"/>
    <w:rPr>
      <w:b/>
      <w:bCs/>
      <w:i/>
      <w:iCs/>
      <w:color w:val="4F81BD"/>
    </w:rPr>
  </w:style>
  <w:style w:type="character" w:styleId="Odwoaniedelikatne">
    <w:name w:val="Subtle Reference"/>
    <w:uiPriority w:val="99"/>
    <w:qFormat/>
    <w:rsid w:val="0052057B"/>
    <w:rPr>
      <w:smallCaps/>
      <w:color w:val="C0504D"/>
      <w:u w:val="single"/>
    </w:rPr>
  </w:style>
  <w:style w:type="character" w:styleId="Odwoanieintensywne">
    <w:name w:val="Intense Reference"/>
    <w:uiPriority w:val="99"/>
    <w:qFormat/>
    <w:rsid w:val="0052057B"/>
    <w:rPr>
      <w:b/>
      <w:bCs/>
      <w:smallCaps/>
      <w:color w:val="C0504D"/>
      <w:spacing w:val="5"/>
      <w:u w:val="single"/>
    </w:rPr>
  </w:style>
  <w:style w:type="character" w:styleId="Tytuksiki">
    <w:name w:val="Book Title"/>
    <w:uiPriority w:val="99"/>
    <w:qFormat/>
    <w:rsid w:val="0052057B"/>
    <w:rPr>
      <w:b/>
      <w:bCs/>
      <w:smallCaps/>
      <w:spacing w:val="5"/>
    </w:rPr>
  </w:style>
  <w:style w:type="paragraph" w:styleId="Nagwekspisutreci">
    <w:name w:val="TOC Heading"/>
    <w:basedOn w:val="Nagwek1"/>
    <w:next w:val="Normalny"/>
    <w:uiPriority w:val="99"/>
    <w:qFormat/>
    <w:rsid w:val="0052057B"/>
    <w:pPr>
      <w:framePr w:wrap="notBeside"/>
      <w:outlineLvl w:val="9"/>
    </w:pPr>
  </w:style>
  <w:style w:type="paragraph" w:styleId="Mapadokumentu">
    <w:name w:val="Document Map"/>
    <w:basedOn w:val="Normalny"/>
    <w:link w:val="MapadokumentuZnak"/>
    <w:uiPriority w:val="99"/>
    <w:semiHidden/>
    <w:rsid w:val="00D4415E"/>
    <w:pPr>
      <w:spacing w:line="240" w:lineRule="auto"/>
    </w:pPr>
    <w:rPr>
      <w:rFonts w:ascii="Tahoma" w:hAnsi="Tahoma" w:cs="Tahoma"/>
      <w:sz w:val="16"/>
      <w:szCs w:val="16"/>
    </w:rPr>
  </w:style>
  <w:style w:type="character" w:customStyle="1" w:styleId="MapadokumentuZnak">
    <w:name w:val="Mapa dokumentu Znak"/>
    <w:link w:val="Mapadokumentu"/>
    <w:uiPriority w:val="99"/>
    <w:semiHidden/>
    <w:rsid w:val="00D4415E"/>
    <w:rPr>
      <w:rFonts w:ascii="Tahoma" w:hAnsi="Tahoma" w:cs="Tahoma"/>
      <w:color w:val="000000"/>
      <w:sz w:val="16"/>
      <w:szCs w:val="16"/>
      <w:lang w:val="pl-PL" w:eastAsia="x-none"/>
    </w:rPr>
  </w:style>
  <w:style w:type="paragraph" w:styleId="Spistreci1">
    <w:name w:val="toc 1"/>
    <w:basedOn w:val="Normalny"/>
    <w:next w:val="Normalny"/>
    <w:autoRedefine/>
    <w:uiPriority w:val="39"/>
    <w:rsid w:val="00C76C24"/>
    <w:pPr>
      <w:tabs>
        <w:tab w:val="left" w:pos="480"/>
        <w:tab w:val="right" w:leader="dot" w:pos="9061"/>
      </w:tabs>
      <w:spacing w:after="100"/>
    </w:pPr>
    <w:rPr>
      <w:b/>
      <w:bCs/>
      <w:noProof/>
    </w:rPr>
  </w:style>
  <w:style w:type="paragraph" w:styleId="Spistreci2">
    <w:name w:val="toc 2"/>
    <w:basedOn w:val="Normalny"/>
    <w:next w:val="Normalny"/>
    <w:autoRedefine/>
    <w:uiPriority w:val="39"/>
    <w:rsid w:val="000F4765"/>
    <w:pPr>
      <w:tabs>
        <w:tab w:val="left" w:pos="880"/>
        <w:tab w:val="right" w:leader="dot" w:pos="9214"/>
      </w:tabs>
    </w:pPr>
  </w:style>
  <w:style w:type="paragraph" w:styleId="Spistreci3">
    <w:name w:val="toc 3"/>
    <w:basedOn w:val="Normalny"/>
    <w:next w:val="Normalny"/>
    <w:autoRedefine/>
    <w:uiPriority w:val="39"/>
    <w:rsid w:val="00C63D77"/>
    <w:pPr>
      <w:spacing w:after="100"/>
      <w:ind w:left="480"/>
    </w:pPr>
  </w:style>
  <w:style w:type="character" w:styleId="Hipercze">
    <w:name w:val="Hyperlink"/>
    <w:uiPriority w:val="99"/>
    <w:rsid w:val="00C63D77"/>
    <w:rPr>
      <w:color w:val="0000FF"/>
      <w:u w:val="single"/>
    </w:rPr>
  </w:style>
  <w:style w:type="paragraph" w:styleId="Tekstprzypisudolnego">
    <w:name w:val="footnote text"/>
    <w:basedOn w:val="Normalny"/>
    <w:link w:val="TekstprzypisudolnegoZnak"/>
    <w:uiPriority w:val="99"/>
    <w:semiHidden/>
    <w:rsid w:val="006E3EB7"/>
    <w:pPr>
      <w:suppressAutoHyphens w:val="0"/>
      <w:spacing w:line="240" w:lineRule="auto"/>
    </w:pPr>
    <w:rPr>
      <w:rFonts w:ascii="Calibri" w:hAnsi="Calibri" w:cs="Calibri"/>
      <w:color w:val="auto"/>
      <w:sz w:val="20"/>
      <w:szCs w:val="20"/>
    </w:rPr>
  </w:style>
  <w:style w:type="character" w:customStyle="1" w:styleId="TekstprzypisudolnegoZnak">
    <w:name w:val="Tekst przypisu dolnego Znak"/>
    <w:link w:val="Tekstprzypisudolnego"/>
    <w:uiPriority w:val="99"/>
    <w:semiHidden/>
    <w:rsid w:val="006E3EB7"/>
    <w:rPr>
      <w:rFonts w:eastAsia="Times New Roman"/>
      <w:sz w:val="20"/>
      <w:szCs w:val="20"/>
      <w:lang w:val="pl-PL" w:eastAsia="x-none"/>
    </w:rPr>
  </w:style>
  <w:style w:type="character" w:styleId="Odwoanieprzypisudolnego">
    <w:name w:val="footnote reference"/>
    <w:uiPriority w:val="99"/>
    <w:semiHidden/>
    <w:rsid w:val="006E3EB7"/>
    <w:rPr>
      <w:vertAlign w:val="superscript"/>
    </w:rPr>
  </w:style>
  <w:style w:type="table" w:styleId="Tabela-Siatka">
    <w:name w:val="Table Grid"/>
    <w:basedOn w:val="Standardowy"/>
    <w:uiPriority w:val="99"/>
    <w:rsid w:val="00800B2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663F8"/>
    <w:pPr>
      <w:suppressAutoHyphens w:val="0"/>
      <w:spacing w:before="100" w:beforeAutospacing="1" w:after="100" w:afterAutospacing="1" w:line="240" w:lineRule="auto"/>
    </w:pPr>
    <w:rPr>
      <w:color w:val="auto"/>
      <w:lang w:eastAsia="pl-PL"/>
    </w:rPr>
  </w:style>
  <w:style w:type="character" w:customStyle="1" w:styleId="mw-headline">
    <w:name w:val="mw-headline"/>
    <w:basedOn w:val="Domylnaczcionkaakapitu"/>
    <w:uiPriority w:val="99"/>
    <w:rsid w:val="00786703"/>
  </w:style>
  <w:style w:type="paragraph" w:styleId="Tekstprzypisukocowego">
    <w:name w:val="endnote text"/>
    <w:basedOn w:val="Normalny"/>
    <w:link w:val="TekstprzypisukocowegoZnak"/>
    <w:uiPriority w:val="99"/>
    <w:semiHidden/>
    <w:rsid w:val="00CA1266"/>
    <w:pPr>
      <w:spacing w:line="240" w:lineRule="auto"/>
    </w:pPr>
    <w:rPr>
      <w:sz w:val="20"/>
      <w:szCs w:val="20"/>
    </w:rPr>
  </w:style>
  <w:style w:type="character" w:customStyle="1" w:styleId="TekstprzypisukocowegoZnak">
    <w:name w:val="Tekst przypisu końcowego Znak"/>
    <w:link w:val="Tekstprzypisukocowego"/>
    <w:uiPriority w:val="99"/>
    <w:semiHidden/>
    <w:rsid w:val="00CA1266"/>
    <w:rPr>
      <w:rFonts w:ascii="Times New Roman" w:hAnsi="Times New Roman" w:cs="Times New Roman"/>
      <w:color w:val="000000"/>
      <w:sz w:val="20"/>
      <w:szCs w:val="20"/>
      <w:lang w:val="pl-PL" w:eastAsia="x-none"/>
    </w:rPr>
  </w:style>
  <w:style w:type="character" w:styleId="Odwoanieprzypisukocowego">
    <w:name w:val="endnote reference"/>
    <w:uiPriority w:val="99"/>
    <w:semiHidden/>
    <w:rsid w:val="00CA1266"/>
    <w:rPr>
      <w:vertAlign w:val="superscript"/>
    </w:rPr>
  </w:style>
  <w:style w:type="paragraph" w:styleId="Lista">
    <w:name w:val="List"/>
    <w:basedOn w:val="Normalny"/>
    <w:uiPriority w:val="99"/>
    <w:rsid w:val="00DB2337"/>
    <w:pPr>
      <w:ind w:left="283" w:hanging="283"/>
      <w:contextualSpacing/>
    </w:pPr>
  </w:style>
  <w:style w:type="paragraph" w:styleId="Lista2">
    <w:name w:val="List 2"/>
    <w:basedOn w:val="Normalny"/>
    <w:uiPriority w:val="99"/>
    <w:rsid w:val="00DB2337"/>
    <w:pPr>
      <w:ind w:left="566" w:hanging="283"/>
      <w:contextualSpacing/>
    </w:pPr>
  </w:style>
  <w:style w:type="paragraph" w:styleId="Lista3">
    <w:name w:val="List 3"/>
    <w:basedOn w:val="Normalny"/>
    <w:uiPriority w:val="99"/>
    <w:rsid w:val="00DB2337"/>
    <w:pPr>
      <w:ind w:left="849" w:hanging="283"/>
      <w:contextualSpacing/>
    </w:pPr>
  </w:style>
  <w:style w:type="paragraph" w:styleId="Lista-kontynuacja">
    <w:name w:val="List Continue"/>
    <w:basedOn w:val="Normalny"/>
    <w:uiPriority w:val="99"/>
    <w:rsid w:val="00DB2337"/>
    <w:pPr>
      <w:spacing w:after="120"/>
      <w:ind w:left="283"/>
      <w:contextualSpacing/>
    </w:pPr>
  </w:style>
  <w:style w:type="paragraph" w:styleId="Tekstpodstawowy">
    <w:name w:val="Body Text"/>
    <w:basedOn w:val="Normalny"/>
    <w:link w:val="TekstpodstawowyZnak"/>
    <w:uiPriority w:val="99"/>
    <w:rsid w:val="00DB2337"/>
    <w:pPr>
      <w:spacing w:after="120"/>
    </w:pPr>
  </w:style>
  <w:style w:type="character" w:customStyle="1" w:styleId="TekstpodstawowyZnak">
    <w:name w:val="Tekst podstawowy Znak"/>
    <w:link w:val="Tekstpodstawowy"/>
    <w:uiPriority w:val="99"/>
    <w:rsid w:val="00DB2337"/>
    <w:rPr>
      <w:rFonts w:ascii="Times New Roman" w:hAnsi="Times New Roman" w:cs="Times New Roman"/>
      <w:color w:val="000000"/>
      <w:sz w:val="24"/>
      <w:szCs w:val="24"/>
      <w:lang w:val="pl-PL" w:eastAsia="x-none"/>
    </w:rPr>
  </w:style>
  <w:style w:type="character" w:styleId="Tekstzastpczy">
    <w:name w:val="Placeholder Text"/>
    <w:uiPriority w:val="99"/>
    <w:semiHidden/>
    <w:rsid w:val="00EF0BF3"/>
    <w:rPr>
      <w:color w:val="808080"/>
    </w:rPr>
  </w:style>
  <w:style w:type="character" w:styleId="Odwoaniedokomentarza">
    <w:name w:val="annotation reference"/>
    <w:uiPriority w:val="99"/>
    <w:semiHidden/>
    <w:rsid w:val="00885A99"/>
    <w:rPr>
      <w:sz w:val="16"/>
      <w:szCs w:val="16"/>
    </w:rPr>
  </w:style>
  <w:style w:type="paragraph" w:styleId="Tekstkomentarza">
    <w:name w:val="annotation text"/>
    <w:basedOn w:val="Normalny"/>
    <w:link w:val="TekstkomentarzaZnak"/>
    <w:uiPriority w:val="99"/>
    <w:semiHidden/>
    <w:rsid w:val="00885A99"/>
    <w:pPr>
      <w:spacing w:line="240" w:lineRule="auto"/>
    </w:pPr>
    <w:rPr>
      <w:sz w:val="20"/>
      <w:szCs w:val="20"/>
    </w:rPr>
  </w:style>
  <w:style w:type="character" w:customStyle="1" w:styleId="TekstkomentarzaZnak">
    <w:name w:val="Tekst komentarza Znak"/>
    <w:link w:val="Tekstkomentarza"/>
    <w:uiPriority w:val="99"/>
    <w:semiHidden/>
    <w:rsid w:val="00885A99"/>
    <w:rPr>
      <w:rFonts w:ascii="Times New Roman" w:hAnsi="Times New Roman" w:cs="Times New Roman"/>
      <w:color w:val="000000"/>
      <w:sz w:val="20"/>
      <w:szCs w:val="20"/>
      <w:lang w:val="pl-PL" w:eastAsia="x-none"/>
    </w:rPr>
  </w:style>
  <w:style w:type="paragraph" w:styleId="Tematkomentarza">
    <w:name w:val="annotation subject"/>
    <w:basedOn w:val="Tekstkomentarza"/>
    <w:next w:val="Tekstkomentarza"/>
    <w:link w:val="TematkomentarzaZnak"/>
    <w:uiPriority w:val="99"/>
    <w:semiHidden/>
    <w:rsid w:val="00885A99"/>
    <w:rPr>
      <w:b/>
      <w:bCs/>
    </w:rPr>
  </w:style>
  <w:style w:type="character" w:customStyle="1" w:styleId="TematkomentarzaZnak">
    <w:name w:val="Temat komentarza Znak"/>
    <w:link w:val="Tematkomentarza"/>
    <w:uiPriority w:val="99"/>
    <w:semiHidden/>
    <w:rsid w:val="00885A99"/>
    <w:rPr>
      <w:rFonts w:ascii="Times New Roman" w:hAnsi="Times New Roman" w:cs="Times New Roman"/>
      <w:b/>
      <w:bCs/>
      <w:color w:val="000000"/>
      <w:sz w:val="20"/>
      <w:szCs w:val="20"/>
      <w:lang w:val="pl-PL" w:eastAsia="x-none"/>
    </w:rPr>
  </w:style>
  <w:style w:type="paragraph" w:customStyle="1" w:styleId="Default">
    <w:name w:val="Default"/>
    <w:uiPriority w:val="99"/>
    <w:rsid w:val="00F5489D"/>
    <w:pPr>
      <w:autoSpaceDE w:val="0"/>
      <w:autoSpaceDN w:val="0"/>
      <w:adjustRightInd w:val="0"/>
    </w:pPr>
    <w:rPr>
      <w:rFonts w:ascii="Times New Roman" w:hAnsi="Times New Roman"/>
      <w:color w:val="000000"/>
      <w:sz w:val="24"/>
      <w:szCs w:val="24"/>
      <w:lang w:eastAsia="en-US"/>
    </w:rPr>
  </w:style>
  <w:style w:type="character" w:styleId="UyteHipercze">
    <w:name w:val="FollowedHyperlink"/>
    <w:uiPriority w:val="99"/>
    <w:semiHidden/>
    <w:rsid w:val="00A468E4"/>
    <w:rPr>
      <w:color w:val="800080"/>
      <w:u w:val="single"/>
    </w:rPr>
  </w:style>
  <w:style w:type="character" w:customStyle="1" w:styleId="name">
    <w:name w:val="name"/>
    <w:basedOn w:val="Domylnaczcionkaakapitu"/>
    <w:uiPriority w:val="99"/>
    <w:rsid w:val="00150A06"/>
  </w:style>
  <w:style w:type="character" w:styleId="Nierozpoznanawzmianka">
    <w:name w:val="Unresolved Mention"/>
    <w:uiPriority w:val="99"/>
    <w:semiHidden/>
    <w:rsid w:val="00BA3818"/>
    <w:rPr>
      <w:color w:val="605E5C"/>
      <w:shd w:val="clear" w:color="auto" w:fill="E1DFDD"/>
    </w:rPr>
  </w:style>
  <w:style w:type="table" w:customStyle="1" w:styleId="Tabela-Siatka1">
    <w:name w:val="Tabela - Siatka1"/>
    <w:uiPriority w:val="99"/>
    <w:rsid w:val="00F856F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0">
    <w:name w:val="Stopka_"/>
    <w:link w:val="Stopka1"/>
    <w:uiPriority w:val="99"/>
    <w:rsid w:val="00677549"/>
    <w:rPr>
      <w:rFonts w:eastAsia="Times New Roman"/>
      <w:color w:val="000000"/>
      <w:lang w:val="pl-PL" w:eastAsia="pl-PL"/>
    </w:rPr>
  </w:style>
  <w:style w:type="character" w:customStyle="1" w:styleId="Teksttreci">
    <w:name w:val="Tekst treści_"/>
    <w:link w:val="Teksttreci0"/>
    <w:uiPriority w:val="99"/>
    <w:rsid w:val="00677549"/>
    <w:rPr>
      <w:rFonts w:eastAsia="Times New Roman"/>
      <w:color w:val="000000"/>
      <w:sz w:val="22"/>
      <w:szCs w:val="22"/>
      <w:lang w:val="pl-PL" w:eastAsia="pl-PL"/>
    </w:rPr>
  </w:style>
  <w:style w:type="paragraph" w:customStyle="1" w:styleId="Stopka1">
    <w:name w:val="Stopka1"/>
    <w:basedOn w:val="Normalny"/>
    <w:link w:val="Stopka0"/>
    <w:uiPriority w:val="99"/>
    <w:rsid w:val="00677549"/>
    <w:pPr>
      <w:widowControl w:val="0"/>
      <w:suppressAutoHyphens w:val="0"/>
      <w:spacing w:line="240" w:lineRule="auto"/>
    </w:pPr>
    <w:rPr>
      <w:lang w:eastAsia="pl-PL"/>
    </w:rPr>
  </w:style>
  <w:style w:type="paragraph" w:customStyle="1" w:styleId="Teksttreci0">
    <w:name w:val="Tekst treści"/>
    <w:basedOn w:val="Normalny"/>
    <w:link w:val="Teksttreci"/>
    <w:uiPriority w:val="99"/>
    <w:rsid w:val="00677549"/>
    <w:pPr>
      <w:widowControl w:val="0"/>
      <w:suppressAutoHyphens w:val="0"/>
      <w:spacing w:after="120" w:line="240" w:lineRule="auto"/>
    </w:pPr>
    <w:rPr>
      <w:sz w:val="22"/>
      <w:szCs w:val="22"/>
      <w:lang w:eastAsia="pl-PL"/>
    </w:rPr>
  </w:style>
  <w:style w:type="paragraph" w:customStyle="1" w:styleId="articlebodyblock">
    <w:name w:val="articlebodyblock"/>
    <w:basedOn w:val="Normalny"/>
    <w:rsid w:val="00304CBE"/>
    <w:pPr>
      <w:suppressAutoHyphens w:val="0"/>
      <w:spacing w:before="100" w:beforeAutospacing="1" w:after="100" w:afterAutospacing="1" w:line="240" w:lineRule="auto"/>
    </w:pPr>
    <w:rPr>
      <w:color w:val="auto"/>
      <w:lang w:eastAsia="pl-PL"/>
    </w:rPr>
  </w:style>
  <w:style w:type="character" w:customStyle="1" w:styleId="hgkelc">
    <w:name w:val="hgkelc"/>
    <w:basedOn w:val="Domylnaczcionkaakapitu"/>
    <w:rsid w:val="00C11AA6"/>
  </w:style>
  <w:style w:type="character" w:customStyle="1" w:styleId="kx21rb">
    <w:name w:val="kx21rb"/>
    <w:basedOn w:val="Domylnaczcionkaakapitu"/>
    <w:rsid w:val="00C1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3526">
      <w:bodyDiv w:val="1"/>
      <w:marLeft w:val="0"/>
      <w:marRight w:val="0"/>
      <w:marTop w:val="0"/>
      <w:marBottom w:val="0"/>
      <w:divBdr>
        <w:top w:val="none" w:sz="0" w:space="0" w:color="auto"/>
        <w:left w:val="none" w:sz="0" w:space="0" w:color="auto"/>
        <w:bottom w:val="none" w:sz="0" w:space="0" w:color="auto"/>
        <w:right w:val="none" w:sz="0" w:space="0" w:color="auto"/>
      </w:divBdr>
    </w:div>
    <w:div w:id="96558365">
      <w:marLeft w:val="0"/>
      <w:marRight w:val="0"/>
      <w:marTop w:val="0"/>
      <w:marBottom w:val="0"/>
      <w:divBdr>
        <w:top w:val="none" w:sz="0" w:space="0" w:color="auto"/>
        <w:left w:val="none" w:sz="0" w:space="0" w:color="auto"/>
        <w:bottom w:val="none" w:sz="0" w:space="0" w:color="auto"/>
        <w:right w:val="none" w:sz="0" w:space="0" w:color="auto"/>
      </w:divBdr>
    </w:div>
    <w:div w:id="96558366">
      <w:marLeft w:val="0"/>
      <w:marRight w:val="0"/>
      <w:marTop w:val="0"/>
      <w:marBottom w:val="0"/>
      <w:divBdr>
        <w:top w:val="none" w:sz="0" w:space="0" w:color="auto"/>
        <w:left w:val="none" w:sz="0" w:space="0" w:color="auto"/>
        <w:bottom w:val="none" w:sz="0" w:space="0" w:color="auto"/>
        <w:right w:val="none" w:sz="0" w:space="0" w:color="auto"/>
      </w:divBdr>
    </w:div>
    <w:div w:id="96558367">
      <w:marLeft w:val="0"/>
      <w:marRight w:val="0"/>
      <w:marTop w:val="0"/>
      <w:marBottom w:val="0"/>
      <w:divBdr>
        <w:top w:val="none" w:sz="0" w:space="0" w:color="auto"/>
        <w:left w:val="none" w:sz="0" w:space="0" w:color="auto"/>
        <w:bottom w:val="none" w:sz="0" w:space="0" w:color="auto"/>
        <w:right w:val="none" w:sz="0" w:space="0" w:color="auto"/>
      </w:divBdr>
    </w:div>
    <w:div w:id="96558368">
      <w:marLeft w:val="0"/>
      <w:marRight w:val="0"/>
      <w:marTop w:val="0"/>
      <w:marBottom w:val="0"/>
      <w:divBdr>
        <w:top w:val="none" w:sz="0" w:space="0" w:color="auto"/>
        <w:left w:val="none" w:sz="0" w:space="0" w:color="auto"/>
        <w:bottom w:val="none" w:sz="0" w:space="0" w:color="auto"/>
        <w:right w:val="none" w:sz="0" w:space="0" w:color="auto"/>
      </w:divBdr>
    </w:div>
    <w:div w:id="96558369">
      <w:marLeft w:val="0"/>
      <w:marRight w:val="0"/>
      <w:marTop w:val="0"/>
      <w:marBottom w:val="0"/>
      <w:divBdr>
        <w:top w:val="none" w:sz="0" w:space="0" w:color="auto"/>
        <w:left w:val="none" w:sz="0" w:space="0" w:color="auto"/>
        <w:bottom w:val="none" w:sz="0" w:space="0" w:color="auto"/>
        <w:right w:val="none" w:sz="0" w:space="0" w:color="auto"/>
      </w:divBdr>
    </w:div>
    <w:div w:id="96558370">
      <w:marLeft w:val="0"/>
      <w:marRight w:val="0"/>
      <w:marTop w:val="0"/>
      <w:marBottom w:val="0"/>
      <w:divBdr>
        <w:top w:val="none" w:sz="0" w:space="0" w:color="auto"/>
        <w:left w:val="none" w:sz="0" w:space="0" w:color="auto"/>
        <w:bottom w:val="none" w:sz="0" w:space="0" w:color="auto"/>
        <w:right w:val="none" w:sz="0" w:space="0" w:color="auto"/>
      </w:divBdr>
    </w:div>
    <w:div w:id="96558371">
      <w:marLeft w:val="0"/>
      <w:marRight w:val="0"/>
      <w:marTop w:val="0"/>
      <w:marBottom w:val="0"/>
      <w:divBdr>
        <w:top w:val="none" w:sz="0" w:space="0" w:color="auto"/>
        <w:left w:val="none" w:sz="0" w:space="0" w:color="auto"/>
        <w:bottom w:val="none" w:sz="0" w:space="0" w:color="auto"/>
        <w:right w:val="none" w:sz="0" w:space="0" w:color="auto"/>
      </w:divBdr>
    </w:div>
    <w:div w:id="96558372">
      <w:marLeft w:val="0"/>
      <w:marRight w:val="0"/>
      <w:marTop w:val="0"/>
      <w:marBottom w:val="0"/>
      <w:divBdr>
        <w:top w:val="none" w:sz="0" w:space="0" w:color="auto"/>
        <w:left w:val="none" w:sz="0" w:space="0" w:color="auto"/>
        <w:bottom w:val="none" w:sz="0" w:space="0" w:color="auto"/>
        <w:right w:val="none" w:sz="0" w:space="0" w:color="auto"/>
      </w:divBdr>
    </w:div>
    <w:div w:id="96558373">
      <w:marLeft w:val="0"/>
      <w:marRight w:val="0"/>
      <w:marTop w:val="0"/>
      <w:marBottom w:val="0"/>
      <w:divBdr>
        <w:top w:val="none" w:sz="0" w:space="0" w:color="auto"/>
        <w:left w:val="none" w:sz="0" w:space="0" w:color="auto"/>
        <w:bottom w:val="none" w:sz="0" w:space="0" w:color="auto"/>
        <w:right w:val="none" w:sz="0" w:space="0" w:color="auto"/>
      </w:divBdr>
    </w:div>
    <w:div w:id="96558374">
      <w:marLeft w:val="0"/>
      <w:marRight w:val="0"/>
      <w:marTop w:val="0"/>
      <w:marBottom w:val="0"/>
      <w:divBdr>
        <w:top w:val="none" w:sz="0" w:space="0" w:color="auto"/>
        <w:left w:val="none" w:sz="0" w:space="0" w:color="auto"/>
        <w:bottom w:val="none" w:sz="0" w:space="0" w:color="auto"/>
        <w:right w:val="none" w:sz="0" w:space="0" w:color="auto"/>
      </w:divBdr>
    </w:div>
    <w:div w:id="96558375">
      <w:marLeft w:val="0"/>
      <w:marRight w:val="0"/>
      <w:marTop w:val="0"/>
      <w:marBottom w:val="0"/>
      <w:divBdr>
        <w:top w:val="none" w:sz="0" w:space="0" w:color="auto"/>
        <w:left w:val="none" w:sz="0" w:space="0" w:color="auto"/>
        <w:bottom w:val="none" w:sz="0" w:space="0" w:color="auto"/>
        <w:right w:val="none" w:sz="0" w:space="0" w:color="auto"/>
      </w:divBdr>
    </w:div>
    <w:div w:id="96558376">
      <w:marLeft w:val="0"/>
      <w:marRight w:val="0"/>
      <w:marTop w:val="0"/>
      <w:marBottom w:val="0"/>
      <w:divBdr>
        <w:top w:val="none" w:sz="0" w:space="0" w:color="auto"/>
        <w:left w:val="none" w:sz="0" w:space="0" w:color="auto"/>
        <w:bottom w:val="none" w:sz="0" w:space="0" w:color="auto"/>
        <w:right w:val="none" w:sz="0" w:space="0" w:color="auto"/>
      </w:divBdr>
    </w:div>
    <w:div w:id="96558377">
      <w:marLeft w:val="0"/>
      <w:marRight w:val="0"/>
      <w:marTop w:val="0"/>
      <w:marBottom w:val="0"/>
      <w:divBdr>
        <w:top w:val="none" w:sz="0" w:space="0" w:color="auto"/>
        <w:left w:val="none" w:sz="0" w:space="0" w:color="auto"/>
        <w:bottom w:val="none" w:sz="0" w:space="0" w:color="auto"/>
        <w:right w:val="none" w:sz="0" w:space="0" w:color="auto"/>
      </w:divBdr>
    </w:div>
    <w:div w:id="96558378">
      <w:marLeft w:val="0"/>
      <w:marRight w:val="0"/>
      <w:marTop w:val="0"/>
      <w:marBottom w:val="0"/>
      <w:divBdr>
        <w:top w:val="none" w:sz="0" w:space="0" w:color="auto"/>
        <w:left w:val="none" w:sz="0" w:space="0" w:color="auto"/>
        <w:bottom w:val="none" w:sz="0" w:space="0" w:color="auto"/>
        <w:right w:val="none" w:sz="0" w:space="0" w:color="auto"/>
      </w:divBdr>
    </w:div>
    <w:div w:id="96558379">
      <w:marLeft w:val="0"/>
      <w:marRight w:val="0"/>
      <w:marTop w:val="0"/>
      <w:marBottom w:val="0"/>
      <w:divBdr>
        <w:top w:val="none" w:sz="0" w:space="0" w:color="auto"/>
        <w:left w:val="none" w:sz="0" w:space="0" w:color="auto"/>
        <w:bottom w:val="none" w:sz="0" w:space="0" w:color="auto"/>
        <w:right w:val="none" w:sz="0" w:space="0" w:color="auto"/>
      </w:divBdr>
    </w:div>
    <w:div w:id="96558380">
      <w:marLeft w:val="0"/>
      <w:marRight w:val="0"/>
      <w:marTop w:val="0"/>
      <w:marBottom w:val="0"/>
      <w:divBdr>
        <w:top w:val="none" w:sz="0" w:space="0" w:color="auto"/>
        <w:left w:val="none" w:sz="0" w:space="0" w:color="auto"/>
        <w:bottom w:val="none" w:sz="0" w:space="0" w:color="auto"/>
        <w:right w:val="none" w:sz="0" w:space="0" w:color="auto"/>
      </w:divBdr>
    </w:div>
    <w:div w:id="96558381">
      <w:marLeft w:val="0"/>
      <w:marRight w:val="0"/>
      <w:marTop w:val="0"/>
      <w:marBottom w:val="0"/>
      <w:divBdr>
        <w:top w:val="none" w:sz="0" w:space="0" w:color="auto"/>
        <w:left w:val="none" w:sz="0" w:space="0" w:color="auto"/>
        <w:bottom w:val="none" w:sz="0" w:space="0" w:color="auto"/>
        <w:right w:val="none" w:sz="0" w:space="0" w:color="auto"/>
      </w:divBdr>
    </w:div>
    <w:div w:id="96558382">
      <w:marLeft w:val="0"/>
      <w:marRight w:val="0"/>
      <w:marTop w:val="0"/>
      <w:marBottom w:val="0"/>
      <w:divBdr>
        <w:top w:val="none" w:sz="0" w:space="0" w:color="auto"/>
        <w:left w:val="none" w:sz="0" w:space="0" w:color="auto"/>
        <w:bottom w:val="none" w:sz="0" w:space="0" w:color="auto"/>
        <w:right w:val="none" w:sz="0" w:space="0" w:color="auto"/>
      </w:divBdr>
    </w:div>
    <w:div w:id="96558383">
      <w:marLeft w:val="0"/>
      <w:marRight w:val="0"/>
      <w:marTop w:val="0"/>
      <w:marBottom w:val="0"/>
      <w:divBdr>
        <w:top w:val="none" w:sz="0" w:space="0" w:color="auto"/>
        <w:left w:val="none" w:sz="0" w:space="0" w:color="auto"/>
        <w:bottom w:val="none" w:sz="0" w:space="0" w:color="auto"/>
        <w:right w:val="none" w:sz="0" w:space="0" w:color="auto"/>
      </w:divBdr>
    </w:div>
    <w:div w:id="96558384">
      <w:marLeft w:val="0"/>
      <w:marRight w:val="0"/>
      <w:marTop w:val="0"/>
      <w:marBottom w:val="0"/>
      <w:divBdr>
        <w:top w:val="none" w:sz="0" w:space="0" w:color="auto"/>
        <w:left w:val="none" w:sz="0" w:space="0" w:color="auto"/>
        <w:bottom w:val="none" w:sz="0" w:space="0" w:color="auto"/>
        <w:right w:val="none" w:sz="0" w:space="0" w:color="auto"/>
      </w:divBdr>
    </w:div>
    <w:div w:id="96558385">
      <w:marLeft w:val="0"/>
      <w:marRight w:val="0"/>
      <w:marTop w:val="0"/>
      <w:marBottom w:val="0"/>
      <w:divBdr>
        <w:top w:val="none" w:sz="0" w:space="0" w:color="auto"/>
        <w:left w:val="none" w:sz="0" w:space="0" w:color="auto"/>
        <w:bottom w:val="none" w:sz="0" w:space="0" w:color="auto"/>
        <w:right w:val="none" w:sz="0" w:space="0" w:color="auto"/>
      </w:divBdr>
    </w:div>
    <w:div w:id="96558386">
      <w:marLeft w:val="0"/>
      <w:marRight w:val="0"/>
      <w:marTop w:val="0"/>
      <w:marBottom w:val="0"/>
      <w:divBdr>
        <w:top w:val="none" w:sz="0" w:space="0" w:color="auto"/>
        <w:left w:val="none" w:sz="0" w:space="0" w:color="auto"/>
        <w:bottom w:val="none" w:sz="0" w:space="0" w:color="auto"/>
        <w:right w:val="none" w:sz="0" w:space="0" w:color="auto"/>
      </w:divBdr>
    </w:div>
    <w:div w:id="96558387">
      <w:marLeft w:val="0"/>
      <w:marRight w:val="0"/>
      <w:marTop w:val="0"/>
      <w:marBottom w:val="0"/>
      <w:divBdr>
        <w:top w:val="none" w:sz="0" w:space="0" w:color="auto"/>
        <w:left w:val="none" w:sz="0" w:space="0" w:color="auto"/>
        <w:bottom w:val="none" w:sz="0" w:space="0" w:color="auto"/>
        <w:right w:val="none" w:sz="0" w:space="0" w:color="auto"/>
      </w:divBdr>
    </w:div>
    <w:div w:id="96558388">
      <w:marLeft w:val="0"/>
      <w:marRight w:val="0"/>
      <w:marTop w:val="0"/>
      <w:marBottom w:val="0"/>
      <w:divBdr>
        <w:top w:val="none" w:sz="0" w:space="0" w:color="auto"/>
        <w:left w:val="none" w:sz="0" w:space="0" w:color="auto"/>
        <w:bottom w:val="none" w:sz="0" w:space="0" w:color="auto"/>
        <w:right w:val="none" w:sz="0" w:space="0" w:color="auto"/>
      </w:divBdr>
    </w:div>
    <w:div w:id="96558389">
      <w:marLeft w:val="0"/>
      <w:marRight w:val="0"/>
      <w:marTop w:val="0"/>
      <w:marBottom w:val="0"/>
      <w:divBdr>
        <w:top w:val="none" w:sz="0" w:space="0" w:color="auto"/>
        <w:left w:val="none" w:sz="0" w:space="0" w:color="auto"/>
        <w:bottom w:val="none" w:sz="0" w:space="0" w:color="auto"/>
        <w:right w:val="none" w:sz="0" w:space="0" w:color="auto"/>
      </w:divBdr>
    </w:div>
    <w:div w:id="96558390">
      <w:marLeft w:val="0"/>
      <w:marRight w:val="0"/>
      <w:marTop w:val="0"/>
      <w:marBottom w:val="0"/>
      <w:divBdr>
        <w:top w:val="none" w:sz="0" w:space="0" w:color="auto"/>
        <w:left w:val="none" w:sz="0" w:space="0" w:color="auto"/>
        <w:bottom w:val="none" w:sz="0" w:space="0" w:color="auto"/>
        <w:right w:val="none" w:sz="0" w:space="0" w:color="auto"/>
      </w:divBdr>
    </w:div>
    <w:div w:id="96558391">
      <w:marLeft w:val="0"/>
      <w:marRight w:val="0"/>
      <w:marTop w:val="0"/>
      <w:marBottom w:val="0"/>
      <w:divBdr>
        <w:top w:val="none" w:sz="0" w:space="0" w:color="auto"/>
        <w:left w:val="none" w:sz="0" w:space="0" w:color="auto"/>
        <w:bottom w:val="none" w:sz="0" w:space="0" w:color="auto"/>
        <w:right w:val="none" w:sz="0" w:space="0" w:color="auto"/>
      </w:divBdr>
    </w:div>
    <w:div w:id="96558392">
      <w:marLeft w:val="0"/>
      <w:marRight w:val="0"/>
      <w:marTop w:val="0"/>
      <w:marBottom w:val="0"/>
      <w:divBdr>
        <w:top w:val="none" w:sz="0" w:space="0" w:color="auto"/>
        <w:left w:val="none" w:sz="0" w:space="0" w:color="auto"/>
        <w:bottom w:val="none" w:sz="0" w:space="0" w:color="auto"/>
        <w:right w:val="none" w:sz="0" w:space="0" w:color="auto"/>
      </w:divBdr>
    </w:div>
    <w:div w:id="96558393">
      <w:marLeft w:val="0"/>
      <w:marRight w:val="0"/>
      <w:marTop w:val="0"/>
      <w:marBottom w:val="0"/>
      <w:divBdr>
        <w:top w:val="none" w:sz="0" w:space="0" w:color="auto"/>
        <w:left w:val="none" w:sz="0" w:space="0" w:color="auto"/>
        <w:bottom w:val="none" w:sz="0" w:space="0" w:color="auto"/>
        <w:right w:val="none" w:sz="0" w:space="0" w:color="auto"/>
      </w:divBdr>
    </w:div>
    <w:div w:id="96558394">
      <w:marLeft w:val="0"/>
      <w:marRight w:val="0"/>
      <w:marTop w:val="0"/>
      <w:marBottom w:val="0"/>
      <w:divBdr>
        <w:top w:val="none" w:sz="0" w:space="0" w:color="auto"/>
        <w:left w:val="none" w:sz="0" w:space="0" w:color="auto"/>
        <w:bottom w:val="none" w:sz="0" w:space="0" w:color="auto"/>
        <w:right w:val="none" w:sz="0" w:space="0" w:color="auto"/>
      </w:divBdr>
    </w:div>
    <w:div w:id="96558395">
      <w:marLeft w:val="0"/>
      <w:marRight w:val="0"/>
      <w:marTop w:val="0"/>
      <w:marBottom w:val="0"/>
      <w:divBdr>
        <w:top w:val="none" w:sz="0" w:space="0" w:color="auto"/>
        <w:left w:val="none" w:sz="0" w:space="0" w:color="auto"/>
        <w:bottom w:val="none" w:sz="0" w:space="0" w:color="auto"/>
        <w:right w:val="none" w:sz="0" w:space="0" w:color="auto"/>
      </w:divBdr>
    </w:div>
    <w:div w:id="96558396">
      <w:marLeft w:val="0"/>
      <w:marRight w:val="0"/>
      <w:marTop w:val="0"/>
      <w:marBottom w:val="0"/>
      <w:divBdr>
        <w:top w:val="none" w:sz="0" w:space="0" w:color="auto"/>
        <w:left w:val="none" w:sz="0" w:space="0" w:color="auto"/>
        <w:bottom w:val="none" w:sz="0" w:space="0" w:color="auto"/>
        <w:right w:val="none" w:sz="0" w:space="0" w:color="auto"/>
      </w:divBdr>
    </w:div>
    <w:div w:id="96558397">
      <w:marLeft w:val="0"/>
      <w:marRight w:val="0"/>
      <w:marTop w:val="0"/>
      <w:marBottom w:val="0"/>
      <w:divBdr>
        <w:top w:val="none" w:sz="0" w:space="0" w:color="auto"/>
        <w:left w:val="none" w:sz="0" w:space="0" w:color="auto"/>
        <w:bottom w:val="none" w:sz="0" w:space="0" w:color="auto"/>
        <w:right w:val="none" w:sz="0" w:space="0" w:color="auto"/>
      </w:divBdr>
    </w:div>
    <w:div w:id="96558398">
      <w:marLeft w:val="0"/>
      <w:marRight w:val="0"/>
      <w:marTop w:val="0"/>
      <w:marBottom w:val="0"/>
      <w:divBdr>
        <w:top w:val="none" w:sz="0" w:space="0" w:color="auto"/>
        <w:left w:val="none" w:sz="0" w:space="0" w:color="auto"/>
        <w:bottom w:val="none" w:sz="0" w:space="0" w:color="auto"/>
        <w:right w:val="none" w:sz="0" w:space="0" w:color="auto"/>
      </w:divBdr>
      <w:divsChild>
        <w:div w:id="96558451">
          <w:marLeft w:val="0"/>
          <w:marRight w:val="0"/>
          <w:marTop w:val="0"/>
          <w:marBottom w:val="0"/>
          <w:divBdr>
            <w:top w:val="none" w:sz="0" w:space="0" w:color="auto"/>
            <w:left w:val="none" w:sz="0" w:space="0" w:color="auto"/>
            <w:bottom w:val="none" w:sz="0" w:space="0" w:color="auto"/>
            <w:right w:val="none" w:sz="0" w:space="0" w:color="auto"/>
          </w:divBdr>
        </w:div>
      </w:divsChild>
    </w:div>
    <w:div w:id="96558399">
      <w:marLeft w:val="0"/>
      <w:marRight w:val="0"/>
      <w:marTop w:val="0"/>
      <w:marBottom w:val="0"/>
      <w:divBdr>
        <w:top w:val="none" w:sz="0" w:space="0" w:color="auto"/>
        <w:left w:val="none" w:sz="0" w:space="0" w:color="auto"/>
        <w:bottom w:val="none" w:sz="0" w:space="0" w:color="auto"/>
        <w:right w:val="none" w:sz="0" w:space="0" w:color="auto"/>
      </w:divBdr>
    </w:div>
    <w:div w:id="96558400">
      <w:marLeft w:val="0"/>
      <w:marRight w:val="0"/>
      <w:marTop w:val="0"/>
      <w:marBottom w:val="0"/>
      <w:divBdr>
        <w:top w:val="none" w:sz="0" w:space="0" w:color="auto"/>
        <w:left w:val="none" w:sz="0" w:space="0" w:color="auto"/>
        <w:bottom w:val="none" w:sz="0" w:space="0" w:color="auto"/>
        <w:right w:val="none" w:sz="0" w:space="0" w:color="auto"/>
      </w:divBdr>
    </w:div>
    <w:div w:id="96558401">
      <w:marLeft w:val="0"/>
      <w:marRight w:val="0"/>
      <w:marTop w:val="0"/>
      <w:marBottom w:val="0"/>
      <w:divBdr>
        <w:top w:val="none" w:sz="0" w:space="0" w:color="auto"/>
        <w:left w:val="none" w:sz="0" w:space="0" w:color="auto"/>
        <w:bottom w:val="none" w:sz="0" w:space="0" w:color="auto"/>
        <w:right w:val="none" w:sz="0" w:space="0" w:color="auto"/>
      </w:divBdr>
    </w:div>
    <w:div w:id="96558403">
      <w:marLeft w:val="0"/>
      <w:marRight w:val="0"/>
      <w:marTop w:val="0"/>
      <w:marBottom w:val="0"/>
      <w:divBdr>
        <w:top w:val="none" w:sz="0" w:space="0" w:color="auto"/>
        <w:left w:val="none" w:sz="0" w:space="0" w:color="auto"/>
        <w:bottom w:val="none" w:sz="0" w:space="0" w:color="auto"/>
        <w:right w:val="none" w:sz="0" w:space="0" w:color="auto"/>
      </w:divBdr>
    </w:div>
    <w:div w:id="96558404">
      <w:marLeft w:val="0"/>
      <w:marRight w:val="0"/>
      <w:marTop w:val="0"/>
      <w:marBottom w:val="0"/>
      <w:divBdr>
        <w:top w:val="none" w:sz="0" w:space="0" w:color="auto"/>
        <w:left w:val="none" w:sz="0" w:space="0" w:color="auto"/>
        <w:bottom w:val="none" w:sz="0" w:space="0" w:color="auto"/>
        <w:right w:val="none" w:sz="0" w:space="0" w:color="auto"/>
      </w:divBdr>
    </w:div>
    <w:div w:id="96558405">
      <w:marLeft w:val="0"/>
      <w:marRight w:val="0"/>
      <w:marTop w:val="0"/>
      <w:marBottom w:val="0"/>
      <w:divBdr>
        <w:top w:val="none" w:sz="0" w:space="0" w:color="auto"/>
        <w:left w:val="none" w:sz="0" w:space="0" w:color="auto"/>
        <w:bottom w:val="none" w:sz="0" w:space="0" w:color="auto"/>
        <w:right w:val="none" w:sz="0" w:space="0" w:color="auto"/>
      </w:divBdr>
    </w:div>
    <w:div w:id="96558406">
      <w:marLeft w:val="0"/>
      <w:marRight w:val="0"/>
      <w:marTop w:val="0"/>
      <w:marBottom w:val="0"/>
      <w:divBdr>
        <w:top w:val="none" w:sz="0" w:space="0" w:color="auto"/>
        <w:left w:val="none" w:sz="0" w:space="0" w:color="auto"/>
        <w:bottom w:val="none" w:sz="0" w:space="0" w:color="auto"/>
        <w:right w:val="none" w:sz="0" w:space="0" w:color="auto"/>
      </w:divBdr>
    </w:div>
    <w:div w:id="96558407">
      <w:marLeft w:val="0"/>
      <w:marRight w:val="0"/>
      <w:marTop w:val="0"/>
      <w:marBottom w:val="0"/>
      <w:divBdr>
        <w:top w:val="none" w:sz="0" w:space="0" w:color="auto"/>
        <w:left w:val="none" w:sz="0" w:space="0" w:color="auto"/>
        <w:bottom w:val="none" w:sz="0" w:space="0" w:color="auto"/>
        <w:right w:val="none" w:sz="0" w:space="0" w:color="auto"/>
      </w:divBdr>
      <w:divsChild>
        <w:div w:id="96558420">
          <w:marLeft w:val="0"/>
          <w:marRight w:val="0"/>
          <w:marTop w:val="0"/>
          <w:marBottom w:val="0"/>
          <w:divBdr>
            <w:top w:val="none" w:sz="0" w:space="0" w:color="auto"/>
            <w:left w:val="none" w:sz="0" w:space="0" w:color="auto"/>
            <w:bottom w:val="none" w:sz="0" w:space="0" w:color="auto"/>
            <w:right w:val="none" w:sz="0" w:space="0" w:color="auto"/>
          </w:divBdr>
        </w:div>
      </w:divsChild>
    </w:div>
    <w:div w:id="96558408">
      <w:marLeft w:val="0"/>
      <w:marRight w:val="0"/>
      <w:marTop w:val="0"/>
      <w:marBottom w:val="0"/>
      <w:divBdr>
        <w:top w:val="none" w:sz="0" w:space="0" w:color="auto"/>
        <w:left w:val="none" w:sz="0" w:space="0" w:color="auto"/>
        <w:bottom w:val="none" w:sz="0" w:space="0" w:color="auto"/>
        <w:right w:val="none" w:sz="0" w:space="0" w:color="auto"/>
      </w:divBdr>
    </w:div>
    <w:div w:id="96558409">
      <w:marLeft w:val="0"/>
      <w:marRight w:val="0"/>
      <w:marTop w:val="0"/>
      <w:marBottom w:val="0"/>
      <w:divBdr>
        <w:top w:val="none" w:sz="0" w:space="0" w:color="auto"/>
        <w:left w:val="none" w:sz="0" w:space="0" w:color="auto"/>
        <w:bottom w:val="none" w:sz="0" w:space="0" w:color="auto"/>
        <w:right w:val="none" w:sz="0" w:space="0" w:color="auto"/>
      </w:divBdr>
    </w:div>
    <w:div w:id="96558410">
      <w:marLeft w:val="0"/>
      <w:marRight w:val="0"/>
      <w:marTop w:val="0"/>
      <w:marBottom w:val="0"/>
      <w:divBdr>
        <w:top w:val="none" w:sz="0" w:space="0" w:color="auto"/>
        <w:left w:val="none" w:sz="0" w:space="0" w:color="auto"/>
        <w:bottom w:val="none" w:sz="0" w:space="0" w:color="auto"/>
        <w:right w:val="none" w:sz="0" w:space="0" w:color="auto"/>
      </w:divBdr>
    </w:div>
    <w:div w:id="96558411">
      <w:marLeft w:val="0"/>
      <w:marRight w:val="0"/>
      <w:marTop w:val="0"/>
      <w:marBottom w:val="0"/>
      <w:divBdr>
        <w:top w:val="none" w:sz="0" w:space="0" w:color="auto"/>
        <w:left w:val="none" w:sz="0" w:space="0" w:color="auto"/>
        <w:bottom w:val="none" w:sz="0" w:space="0" w:color="auto"/>
        <w:right w:val="none" w:sz="0" w:space="0" w:color="auto"/>
      </w:divBdr>
    </w:div>
    <w:div w:id="96558412">
      <w:marLeft w:val="0"/>
      <w:marRight w:val="0"/>
      <w:marTop w:val="0"/>
      <w:marBottom w:val="0"/>
      <w:divBdr>
        <w:top w:val="none" w:sz="0" w:space="0" w:color="auto"/>
        <w:left w:val="none" w:sz="0" w:space="0" w:color="auto"/>
        <w:bottom w:val="none" w:sz="0" w:space="0" w:color="auto"/>
        <w:right w:val="none" w:sz="0" w:space="0" w:color="auto"/>
      </w:divBdr>
    </w:div>
    <w:div w:id="96558414">
      <w:marLeft w:val="0"/>
      <w:marRight w:val="0"/>
      <w:marTop w:val="0"/>
      <w:marBottom w:val="0"/>
      <w:divBdr>
        <w:top w:val="none" w:sz="0" w:space="0" w:color="auto"/>
        <w:left w:val="none" w:sz="0" w:space="0" w:color="auto"/>
        <w:bottom w:val="none" w:sz="0" w:space="0" w:color="auto"/>
        <w:right w:val="none" w:sz="0" w:space="0" w:color="auto"/>
      </w:divBdr>
    </w:div>
    <w:div w:id="96558415">
      <w:marLeft w:val="0"/>
      <w:marRight w:val="0"/>
      <w:marTop w:val="0"/>
      <w:marBottom w:val="0"/>
      <w:divBdr>
        <w:top w:val="none" w:sz="0" w:space="0" w:color="auto"/>
        <w:left w:val="none" w:sz="0" w:space="0" w:color="auto"/>
        <w:bottom w:val="none" w:sz="0" w:space="0" w:color="auto"/>
        <w:right w:val="none" w:sz="0" w:space="0" w:color="auto"/>
      </w:divBdr>
    </w:div>
    <w:div w:id="96558416">
      <w:marLeft w:val="0"/>
      <w:marRight w:val="0"/>
      <w:marTop w:val="0"/>
      <w:marBottom w:val="0"/>
      <w:divBdr>
        <w:top w:val="none" w:sz="0" w:space="0" w:color="auto"/>
        <w:left w:val="none" w:sz="0" w:space="0" w:color="auto"/>
        <w:bottom w:val="none" w:sz="0" w:space="0" w:color="auto"/>
        <w:right w:val="none" w:sz="0" w:space="0" w:color="auto"/>
      </w:divBdr>
    </w:div>
    <w:div w:id="96558417">
      <w:marLeft w:val="0"/>
      <w:marRight w:val="0"/>
      <w:marTop w:val="0"/>
      <w:marBottom w:val="0"/>
      <w:divBdr>
        <w:top w:val="none" w:sz="0" w:space="0" w:color="auto"/>
        <w:left w:val="none" w:sz="0" w:space="0" w:color="auto"/>
        <w:bottom w:val="none" w:sz="0" w:space="0" w:color="auto"/>
        <w:right w:val="none" w:sz="0" w:space="0" w:color="auto"/>
      </w:divBdr>
    </w:div>
    <w:div w:id="96558418">
      <w:marLeft w:val="0"/>
      <w:marRight w:val="0"/>
      <w:marTop w:val="0"/>
      <w:marBottom w:val="0"/>
      <w:divBdr>
        <w:top w:val="none" w:sz="0" w:space="0" w:color="auto"/>
        <w:left w:val="none" w:sz="0" w:space="0" w:color="auto"/>
        <w:bottom w:val="none" w:sz="0" w:space="0" w:color="auto"/>
        <w:right w:val="none" w:sz="0" w:space="0" w:color="auto"/>
      </w:divBdr>
    </w:div>
    <w:div w:id="96558419">
      <w:marLeft w:val="0"/>
      <w:marRight w:val="0"/>
      <w:marTop w:val="0"/>
      <w:marBottom w:val="0"/>
      <w:divBdr>
        <w:top w:val="none" w:sz="0" w:space="0" w:color="auto"/>
        <w:left w:val="none" w:sz="0" w:space="0" w:color="auto"/>
        <w:bottom w:val="none" w:sz="0" w:space="0" w:color="auto"/>
        <w:right w:val="none" w:sz="0" w:space="0" w:color="auto"/>
      </w:divBdr>
    </w:div>
    <w:div w:id="96558421">
      <w:marLeft w:val="0"/>
      <w:marRight w:val="0"/>
      <w:marTop w:val="0"/>
      <w:marBottom w:val="0"/>
      <w:divBdr>
        <w:top w:val="none" w:sz="0" w:space="0" w:color="auto"/>
        <w:left w:val="none" w:sz="0" w:space="0" w:color="auto"/>
        <w:bottom w:val="none" w:sz="0" w:space="0" w:color="auto"/>
        <w:right w:val="none" w:sz="0" w:space="0" w:color="auto"/>
      </w:divBdr>
      <w:divsChild>
        <w:div w:id="96558413">
          <w:marLeft w:val="0"/>
          <w:marRight w:val="0"/>
          <w:marTop w:val="0"/>
          <w:marBottom w:val="0"/>
          <w:divBdr>
            <w:top w:val="none" w:sz="0" w:space="0" w:color="auto"/>
            <w:left w:val="none" w:sz="0" w:space="0" w:color="auto"/>
            <w:bottom w:val="none" w:sz="0" w:space="0" w:color="auto"/>
            <w:right w:val="none" w:sz="0" w:space="0" w:color="auto"/>
          </w:divBdr>
        </w:div>
      </w:divsChild>
    </w:div>
    <w:div w:id="96558422">
      <w:marLeft w:val="0"/>
      <w:marRight w:val="0"/>
      <w:marTop w:val="0"/>
      <w:marBottom w:val="0"/>
      <w:divBdr>
        <w:top w:val="none" w:sz="0" w:space="0" w:color="auto"/>
        <w:left w:val="none" w:sz="0" w:space="0" w:color="auto"/>
        <w:bottom w:val="none" w:sz="0" w:space="0" w:color="auto"/>
        <w:right w:val="none" w:sz="0" w:space="0" w:color="auto"/>
      </w:divBdr>
    </w:div>
    <w:div w:id="96558423">
      <w:marLeft w:val="0"/>
      <w:marRight w:val="0"/>
      <w:marTop w:val="0"/>
      <w:marBottom w:val="0"/>
      <w:divBdr>
        <w:top w:val="none" w:sz="0" w:space="0" w:color="auto"/>
        <w:left w:val="none" w:sz="0" w:space="0" w:color="auto"/>
        <w:bottom w:val="none" w:sz="0" w:space="0" w:color="auto"/>
        <w:right w:val="none" w:sz="0" w:space="0" w:color="auto"/>
      </w:divBdr>
    </w:div>
    <w:div w:id="96558424">
      <w:marLeft w:val="0"/>
      <w:marRight w:val="0"/>
      <w:marTop w:val="0"/>
      <w:marBottom w:val="0"/>
      <w:divBdr>
        <w:top w:val="none" w:sz="0" w:space="0" w:color="auto"/>
        <w:left w:val="none" w:sz="0" w:space="0" w:color="auto"/>
        <w:bottom w:val="none" w:sz="0" w:space="0" w:color="auto"/>
        <w:right w:val="none" w:sz="0" w:space="0" w:color="auto"/>
      </w:divBdr>
    </w:div>
    <w:div w:id="96558425">
      <w:marLeft w:val="0"/>
      <w:marRight w:val="0"/>
      <w:marTop w:val="0"/>
      <w:marBottom w:val="0"/>
      <w:divBdr>
        <w:top w:val="none" w:sz="0" w:space="0" w:color="auto"/>
        <w:left w:val="none" w:sz="0" w:space="0" w:color="auto"/>
        <w:bottom w:val="none" w:sz="0" w:space="0" w:color="auto"/>
        <w:right w:val="none" w:sz="0" w:space="0" w:color="auto"/>
      </w:divBdr>
    </w:div>
    <w:div w:id="96558426">
      <w:marLeft w:val="0"/>
      <w:marRight w:val="0"/>
      <w:marTop w:val="0"/>
      <w:marBottom w:val="0"/>
      <w:divBdr>
        <w:top w:val="none" w:sz="0" w:space="0" w:color="auto"/>
        <w:left w:val="none" w:sz="0" w:space="0" w:color="auto"/>
        <w:bottom w:val="none" w:sz="0" w:space="0" w:color="auto"/>
        <w:right w:val="none" w:sz="0" w:space="0" w:color="auto"/>
      </w:divBdr>
      <w:divsChild>
        <w:div w:id="96558402">
          <w:marLeft w:val="0"/>
          <w:marRight w:val="0"/>
          <w:marTop w:val="0"/>
          <w:marBottom w:val="0"/>
          <w:divBdr>
            <w:top w:val="none" w:sz="0" w:space="0" w:color="auto"/>
            <w:left w:val="none" w:sz="0" w:space="0" w:color="auto"/>
            <w:bottom w:val="none" w:sz="0" w:space="0" w:color="auto"/>
            <w:right w:val="none" w:sz="0" w:space="0" w:color="auto"/>
          </w:divBdr>
        </w:div>
      </w:divsChild>
    </w:div>
    <w:div w:id="96558427">
      <w:marLeft w:val="0"/>
      <w:marRight w:val="0"/>
      <w:marTop w:val="0"/>
      <w:marBottom w:val="0"/>
      <w:divBdr>
        <w:top w:val="none" w:sz="0" w:space="0" w:color="auto"/>
        <w:left w:val="none" w:sz="0" w:space="0" w:color="auto"/>
        <w:bottom w:val="none" w:sz="0" w:space="0" w:color="auto"/>
        <w:right w:val="none" w:sz="0" w:space="0" w:color="auto"/>
      </w:divBdr>
    </w:div>
    <w:div w:id="96558428">
      <w:marLeft w:val="0"/>
      <w:marRight w:val="0"/>
      <w:marTop w:val="0"/>
      <w:marBottom w:val="0"/>
      <w:divBdr>
        <w:top w:val="none" w:sz="0" w:space="0" w:color="auto"/>
        <w:left w:val="none" w:sz="0" w:space="0" w:color="auto"/>
        <w:bottom w:val="none" w:sz="0" w:space="0" w:color="auto"/>
        <w:right w:val="none" w:sz="0" w:space="0" w:color="auto"/>
      </w:divBdr>
    </w:div>
    <w:div w:id="96558429">
      <w:marLeft w:val="0"/>
      <w:marRight w:val="0"/>
      <w:marTop w:val="0"/>
      <w:marBottom w:val="0"/>
      <w:divBdr>
        <w:top w:val="none" w:sz="0" w:space="0" w:color="auto"/>
        <w:left w:val="none" w:sz="0" w:space="0" w:color="auto"/>
        <w:bottom w:val="none" w:sz="0" w:space="0" w:color="auto"/>
        <w:right w:val="none" w:sz="0" w:space="0" w:color="auto"/>
      </w:divBdr>
    </w:div>
    <w:div w:id="96558430">
      <w:marLeft w:val="0"/>
      <w:marRight w:val="0"/>
      <w:marTop w:val="0"/>
      <w:marBottom w:val="0"/>
      <w:divBdr>
        <w:top w:val="none" w:sz="0" w:space="0" w:color="auto"/>
        <w:left w:val="none" w:sz="0" w:space="0" w:color="auto"/>
        <w:bottom w:val="none" w:sz="0" w:space="0" w:color="auto"/>
        <w:right w:val="none" w:sz="0" w:space="0" w:color="auto"/>
      </w:divBdr>
    </w:div>
    <w:div w:id="96558431">
      <w:marLeft w:val="0"/>
      <w:marRight w:val="0"/>
      <w:marTop w:val="0"/>
      <w:marBottom w:val="0"/>
      <w:divBdr>
        <w:top w:val="none" w:sz="0" w:space="0" w:color="auto"/>
        <w:left w:val="none" w:sz="0" w:space="0" w:color="auto"/>
        <w:bottom w:val="none" w:sz="0" w:space="0" w:color="auto"/>
        <w:right w:val="none" w:sz="0" w:space="0" w:color="auto"/>
      </w:divBdr>
    </w:div>
    <w:div w:id="96558432">
      <w:marLeft w:val="0"/>
      <w:marRight w:val="0"/>
      <w:marTop w:val="0"/>
      <w:marBottom w:val="0"/>
      <w:divBdr>
        <w:top w:val="none" w:sz="0" w:space="0" w:color="auto"/>
        <w:left w:val="none" w:sz="0" w:space="0" w:color="auto"/>
        <w:bottom w:val="none" w:sz="0" w:space="0" w:color="auto"/>
        <w:right w:val="none" w:sz="0" w:space="0" w:color="auto"/>
      </w:divBdr>
    </w:div>
    <w:div w:id="96558433">
      <w:marLeft w:val="0"/>
      <w:marRight w:val="0"/>
      <w:marTop w:val="0"/>
      <w:marBottom w:val="0"/>
      <w:divBdr>
        <w:top w:val="none" w:sz="0" w:space="0" w:color="auto"/>
        <w:left w:val="none" w:sz="0" w:space="0" w:color="auto"/>
        <w:bottom w:val="none" w:sz="0" w:space="0" w:color="auto"/>
        <w:right w:val="none" w:sz="0" w:space="0" w:color="auto"/>
      </w:divBdr>
    </w:div>
    <w:div w:id="96558434">
      <w:marLeft w:val="0"/>
      <w:marRight w:val="0"/>
      <w:marTop w:val="0"/>
      <w:marBottom w:val="0"/>
      <w:divBdr>
        <w:top w:val="none" w:sz="0" w:space="0" w:color="auto"/>
        <w:left w:val="none" w:sz="0" w:space="0" w:color="auto"/>
        <w:bottom w:val="none" w:sz="0" w:space="0" w:color="auto"/>
        <w:right w:val="none" w:sz="0" w:space="0" w:color="auto"/>
      </w:divBdr>
    </w:div>
    <w:div w:id="96558435">
      <w:marLeft w:val="0"/>
      <w:marRight w:val="0"/>
      <w:marTop w:val="0"/>
      <w:marBottom w:val="0"/>
      <w:divBdr>
        <w:top w:val="none" w:sz="0" w:space="0" w:color="auto"/>
        <w:left w:val="none" w:sz="0" w:space="0" w:color="auto"/>
        <w:bottom w:val="none" w:sz="0" w:space="0" w:color="auto"/>
        <w:right w:val="none" w:sz="0" w:space="0" w:color="auto"/>
      </w:divBdr>
    </w:div>
    <w:div w:id="96558436">
      <w:marLeft w:val="0"/>
      <w:marRight w:val="0"/>
      <w:marTop w:val="0"/>
      <w:marBottom w:val="0"/>
      <w:divBdr>
        <w:top w:val="none" w:sz="0" w:space="0" w:color="auto"/>
        <w:left w:val="none" w:sz="0" w:space="0" w:color="auto"/>
        <w:bottom w:val="none" w:sz="0" w:space="0" w:color="auto"/>
        <w:right w:val="none" w:sz="0" w:space="0" w:color="auto"/>
      </w:divBdr>
    </w:div>
    <w:div w:id="96558437">
      <w:marLeft w:val="0"/>
      <w:marRight w:val="0"/>
      <w:marTop w:val="0"/>
      <w:marBottom w:val="0"/>
      <w:divBdr>
        <w:top w:val="none" w:sz="0" w:space="0" w:color="auto"/>
        <w:left w:val="none" w:sz="0" w:space="0" w:color="auto"/>
        <w:bottom w:val="none" w:sz="0" w:space="0" w:color="auto"/>
        <w:right w:val="none" w:sz="0" w:space="0" w:color="auto"/>
      </w:divBdr>
    </w:div>
    <w:div w:id="96558438">
      <w:marLeft w:val="0"/>
      <w:marRight w:val="0"/>
      <w:marTop w:val="0"/>
      <w:marBottom w:val="0"/>
      <w:divBdr>
        <w:top w:val="none" w:sz="0" w:space="0" w:color="auto"/>
        <w:left w:val="none" w:sz="0" w:space="0" w:color="auto"/>
        <w:bottom w:val="none" w:sz="0" w:space="0" w:color="auto"/>
        <w:right w:val="none" w:sz="0" w:space="0" w:color="auto"/>
      </w:divBdr>
    </w:div>
    <w:div w:id="96558439">
      <w:marLeft w:val="0"/>
      <w:marRight w:val="0"/>
      <w:marTop w:val="0"/>
      <w:marBottom w:val="0"/>
      <w:divBdr>
        <w:top w:val="none" w:sz="0" w:space="0" w:color="auto"/>
        <w:left w:val="none" w:sz="0" w:space="0" w:color="auto"/>
        <w:bottom w:val="none" w:sz="0" w:space="0" w:color="auto"/>
        <w:right w:val="none" w:sz="0" w:space="0" w:color="auto"/>
      </w:divBdr>
    </w:div>
    <w:div w:id="96558440">
      <w:marLeft w:val="0"/>
      <w:marRight w:val="0"/>
      <w:marTop w:val="0"/>
      <w:marBottom w:val="0"/>
      <w:divBdr>
        <w:top w:val="none" w:sz="0" w:space="0" w:color="auto"/>
        <w:left w:val="none" w:sz="0" w:space="0" w:color="auto"/>
        <w:bottom w:val="none" w:sz="0" w:space="0" w:color="auto"/>
        <w:right w:val="none" w:sz="0" w:space="0" w:color="auto"/>
      </w:divBdr>
    </w:div>
    <w:div w:id="96558441">
      <w:marLeft w:val="0"/>
      <w:marRight w:val="0"/>
      <w:marTop w:val="0"/>
      <w:marBottom w:val="0"/>
      <w:divBdr>
        <w:top w:val="none" w:sz="0" w:space="0" w:color="auto"/>
        <w:left w:val="none" w:sz="0" w:space="0" w:color="auto"/>
        <w:bottom w:val="none" w:sz="0" w:space="0" w:color="auto"/>
        <w:right w:val="none" w:sz="0" w:space="0" w:color="auto"/>
      </w:divBdr>
    </w:div>
    <w:div w:id="96558442">
      <w:marLeft w:val="0"/>
      <w:marRight w:val="0"/>
      <w:marTop w:val="0"/>
      <w:marBottom w:val="0"/>
      <w:divBdr>
        <w:top w:val="none" w:sz="0" w:space="0" w:color="auto"/>
        <w:left w:val="none" w:sz="0" w:space="0" w:color="auto"/>
        <w:bottom w:val="none" w:sz="0" w:space="0" w:color="auto"/>
        <w:right w:val="none" w:sz="0" w:space="0" w:color="auto"/>
      </w:divBdr>
    </w:div>
    <w:div w:id="96558443">
      <w:marLeft w:val="0"/>
      <w:marRight w:val="0"/>
      <w:marTop w:val="0"/>
      <w:marBottom w:val="0"/>
      <w:divBdr>
        <w:top w:val="none" w:sz="0" w:space="0" w:color="auto"/>
        <w:left w:val="none" w:sz="0" w:space="0" w:color="auto"/>
        <w:bottom w:val="none" w:sz="0" w:space="0" w:color="auto"/>
        <w:right w:val="none" w:sz="0" w:space="0" w:color="auto"/>
      </w:divBdr>
    </w:div>
    <w:div w:id="96558444">
      <w:marLeft w:val="0"/>
      <w:marRight w:val="0"/>
      <w:marTop w:val="0"/>
      <w:marBottom w:val="0"/>
      <w:divBdr>
        <w:top w:val="none" w:sz="0" w:space="0" w:color="auto"/>
        <w:left w:val="none" w:sz="0" w:space="0" w:color="auto"/>
        <w:bottom w:val="none" w:sz="0" w:space="0" w:color="auto"/>
        <w:right w:val="none" w:sz="0" w:space="0" w:color="auto"/>
      </w:divBdr>
    </w:div>
    <w:div w:id="96558445">
      <w:marLeft w:val="0"/>
      <w:marRight w:val="0"/>
      <w:marTop w:val="0"/>
      <w:marBottom w:val="0"/>
      <w:divBdr>
        <w:top w:val="none" w:sz="0" w:space="0" w:color="auto"/>
        <w:left w:val="none" w:sz="0" w:space="0" w:color="auto"/>
        <w:bottom w:val="none" w:sz="0" w:space="0" w:color="auto"/>
        <w:right w:val="none" w:sz="0" w:space="0" w:color="auto"/>
      </w:divBdr>
    </w:div>
    <w:div w:id="96558446">
      <w:marLeft w:val="0"/>
      <w:marRight w:val="0"/>
      <w:marTop w:val="0"/>
      <w:marBottom w:val="0"/>
      <w:divBdr>
        <w:top w:val="none" w:sz="0" w:space="0" w:color="auto"/>
        <w:left w:val="none" w:sz="0" w:space="0" w:color="auto"/>
        <w:bottom w:val="none" w:sz="0" w:space="0" w:color="auto"/>
        <w:right w:val="none" w:sz="0" w:space="0" w:color="auto"/>
      </w:divBdr>
    </w:div>
    <w:div w:id="96558447">
      <w:marLeft w:val="0"/>
      <w:marRight w:val="0"/>
      <w:marTop w:val="0"/>
      <w:marBottom w:val="0"/>
      <w:divBdr>
        <w:top w:val="none" w:sz="0" w:space="0" w:color="auto"/>
        <w:left w:val="none" w:sz="0" w:space="0" w:color="auto"/>
        <w:bottom w:val="none" w:sz="0" w:space="0" w:color="auto"/>
        <w:right w:val="none" w:sz="0" w:space="0" w:color="auto"/>
      </w:divBdr>
    </w:div>
    <w:div w:id="96558448">
      <w:marLeft w:val="0"/>
      <w:marRight w:val="0"/>
      <w:marTop w:val="0"/>
      <w:marBottom w:val="0"/>
      <w:divBdr>
        <w:top w:val="none" w:sz="0" w:space="0" w:color="auto"/>
        <w:left w:val="none" w:sz="0" w:space="0" w:color="auto"/>
        <w:bottom w:val="none" w:sz="0" w:space="0" w:color="auto"/>
        <w:right w:val="none" w:sz="0" w:space="0" w:color="auto"/>
      </w:divBdr>
    </w:div>
    <w:div w:id="96558449">
      <w:marLeft w:val="0"/>
      <w:marRight w:val="0"/>
      <w:marTop w:val="0"/>
      <w:marBottom w:val="0"/>
      <w:divBdr>
        <w:top w:val="none" w:sz="0" w:space="0" w:color="auto"/>
        <w:left w:val="none" w:sz="0" w:space="0" w:color="auto"/>
        <w:bottom w:val="none" w:sz="0" w:space="0" w:color="auto"/>
        <w:right w:val="none" w:sz="0" w:space="0" w:color="auto"/>
      </w:divBdr>
    </w:div>
    <w:div w:id="96558450">
      <w:marLeft w:val="0"/>
      <w:marRight w:val="0"/>
      <w:marTop w:val="0"/>
      <w:marBottom w:val="0"/>
      <w:divBdr>
        <w:top w:val="none" w:sz="0" w:space="0" w:color="auto"/>
        <w:left w:val="none" w:sz="0" w:space="0" w:color="auto"/>
        <w:bottom w:val="none" w:sz="0" w:space="0" w:color="auto"/>
        <w:right w:val="none" w:sz="0" w:space="0" w:color="auto"/>
      </w:divBdr>
    </w:div>
    <w:div w:id="96558452">
      <w:marLeft w:val="0"/>
      <w:marRight w:val="0"/>
      <w:marTop w:val="0"/>
      <w:marBottom w:val="0"/>
      <w:divBdr>
        <w:top w:val="none" w:sz="0" w:space="0" w:color="auto"/>
        <w:left w:val="none" w:sz="0" w:space="0" w:color="auto"/>
        <w:bottom w:val="none" w:sz="0" w:space="0" w:color="auto"/>
        <w:right w:val="none" w:sz="0" w:space="0" w:color="auto"/>
      </w:divBdr>
    </w:div>
    <w:div w:id="96558453">
      <w:marLeft w:val="0"/>
      <w:marRight w:val="0"/>
      <w:marTop w:val="0"/>
      <w:marBottom w:val="0"/>
      <w:divBdr>
        <w:top w:val="none" w:sz="0" w:space="0" w:color="auto"/>
        <w:left w:val="none" w:sz="0" w:space="0" w:color="auto"/>
        <w:bottom w:val="none" w:sz="0" w:space="0" w:color="auto"/>
        <w:right w:val="none" w:sz="0" w:space="0" w:color="auto"/>
      </w:divBdr>
    </w:div>
    <w:div w:id="96558454">
      <w:marLeft w:val="0"/>
      <w:marRight w:val="0"/>
      <w:marTop w:val="0"/>
      <w:marBottom w:val="0"/>
      <w:divBdr>
        <w:top w:val="none" w:sz="0" w:space="0" w:color="auto"/>
        <w:left w:val="none" w:sz="0" w:space="0" w:color="auto"/>
        <w:bottom w:val="none" w:sz="0" w:space="0" w:color="auto"/>
        <w:right w:val="none" w:sz="0" w:space="0" w:color="auto"/>
      </w:divBdr>
    </w:div>
    <w:div w:id="96558455">
      <w:marLeft w:val="0"/>
      <w:marRight w:val="0"/>
      <w:marTop w:val="0"/>
      <w:marBottom w:val="0"/>
      <w:divBdr>
        <w:top w:val="none" w:sz="0" w:space="0" w:color="auto"/>
        <w:left w:val="none" w:sz="0" w:space="0" w:color="auto"/>
        <w:bottom w:val="none" w:sz="0" w:space="0" w:color="auto"/>
        <w:right w:val="none" w:sz="0" w:space="0" w:color="auto"/>
      </w:divBdr>
      <w:divsChild>
        <w:div w:id="96558463">
          <w:marLeft w:val="0"/>
          <w:marRight w:val="0"/>
          <w:marTop w:val="0"/>
          <w:marBottom w:val="0"/>
          <w:divBdr>
            <w:top w:val="none" w:sz="0" w:space="0" w:color="auto"/>
            <w:left w:val="none" w:sz="0" w:space="0" w:color="auto"/>
            <w:bottom w:val="none" w:sz="0" w:space="0" w:color="auto"/>
            <w:right w:val="none" w:sz="0" w:space="0" w:color="auto"/>
          </w:divBdr>
        </w:div>
      </w:divsChild>
    </w:div>
    <w:div w:id="96558456">
      <w:marLeft w:val="0"/>
      <w:marRight w:val="0"/>
      <w:marTop w:val="0"/>
      <w:marBottom w:val="0"/>
      <w:divBdr>
        <w:top w:val="none" w:sz="0" w:space="0" w:color="auto"/>
        <w:left w:val="none" w:sz="0" w:space="0" w:color="auto"/>
        <w:bottom w:val="none" w:sz="0" w:space="0" w:color="auto"/>
        <w:right w:val="none" w:sz="0" w:space="0" w:color="auto"/>
      </w:divBdr>
    </w:div>
    <w:div w:id="96558457">
      <w:marLeft w:val="0"/>
      <w:marRight w:val="0"/>
      <w:marTop w:val="0"/>
      <w:marBottom w:val="0"/>
      <w:divBdr>
        <w:top w:val="none" w:sz="0" w:space="0" w:color="auto"/>
        <w:left w:val="none" w:sz="0" w:space="0" w:color="auto"/>
        <w:bottom w:val="none" w:sz="0" w:space="0" w:color="auto"/>
        <w:right w:val="none" w:sz="0" w:space="0" w:color="auto"/>
      </w:divBdr>
    </w:div>
    <w:div w:id="96558458">
      <w:marLeft w:val="0"/>
      <w:marRight w:val="0"/>
      <w:marTop w:val="0"/>
      <w:marBottom w:val="0"/>
      <w:divBdr>
        <w:top w:val="none" w:sz="0" w:space="0" w:color="auto"/>
        <w:left w:val="none" w:sz="0" w:space="0" w:color="auto"/>
        <w:bottom w:val="none" w:sz="0" w:space="0" w:color="auto"/>
        <w:right w:val="none" w:sz="0" w:space="0" w:color="auto"/>
      </w:divBdr>
    </w:div>
    <w:div w:id="96558459">
      <w:marLeft w:val="0"/>
      <w:marRight w:val="0"/>
      <w:marTop w:val="0"/>
      <w:marBottom w:val="0"/>
      <w:divBdr>
        <w:top w:val="none" w:sz="0" w:space="0" w:color="auto"/>
        <w:left w:val="none" w:sz="0" w:space="0" w:color="auto"/>
        <w:bottom w:val="none" w:sz="0" w:space="0" w:color="auto"/>
        <w:right w:val="none" w:sz="0" w:space="0" w:color="auto"/>
      </w:divBdr>
    </w:div>
    <w:div w:id="96558460">
      <w:marLeft w:val="0"/>
      <w:marRight w:val="0"/>
      <w:marTop w:val="0"/>
      <w:marBottom w:val="0"/>
      <w:divBdr>
        <w:top w:val="none" w:sz="0" w:space="0" w:color="auto"/>
        <w:left w:val="none" w:sz="0" w:space="0" w:color="auto"/>
        <w:bottom w:val="none" w:sz="0" w:space="0" w:color="auto"/>
        <w:right w:val="none" w:sz="0" w:space="0" w:color="auto"/>
      </w:divBdr>
    </w:div>
    <w:div w:id="96558461">
      <w:marLeft w:val="0"/>
      <w:marRight w:val="0"/>
      <w:marTop w:val="0"/>
      <w:marBottom w:val="0"/>
      <w:divBdr>
        <w:top w:val="none" w:sz="0" w:space="0" w:color="auto"/>
        <w:left w:val="none" w:sz="0" w:space="0" w:color="auto"/>
        <w:bottom w:val="none" w:sz="0" w:space="0" w:color="auto"/>
        <w:right w:val="none" w:sz="0" w:space="0" w:color="auto"/>
      </w:divBdr>
    </w:div>
    <w:div w:id="96558462">
      <w:marLeft w:val="0"/>
      <w:marRight w:val="0"/>
      <w:marTop w:val="0"/>
      <w:marBottom w:val="0"/>
      <w:divBdr>
        <w:top w:val="none" w:sz="0" w:space="0" w:color="auto"/>
        <w:left w:val="none" w:sz="0" w:space="0" w:color="auto"/>
        <w:bottom w:val="none" w:sz="0" w:space="0" w:color="auto"/>
        <w:right w:val="none" w:sz="0" w:space="0" w:color="auto"/>
      </w:divBdr>
    </w:div>
    <w:div w:id="96558464">
      <w:marLeft w:val="0"/>
      <w:marRight w:val="0"/>
      <w:marTop w:val="0"/>
      <w:marBottom w:val="0"/>
      <w:divBdr>
        <w:top w:val="none" w:sz="0" w:space="0" w:color="auto"/>
        <w:left w:val="none" w:sz="0" w:space="0" w:color="auto"/>
        <w:bottom w:val="none" w:sz="0" w:space="0" w:color="auto"/>
        <w:right w:val="none" w:sz="0" w:space="0" w:color="auto"/>
      </w:divBdr>
    </w:div>
    <w:div w:id="96558465">
      <w:marLeft w:val="0"/>
      <w:marRight w:val="0"/>
      <w:marTop w:val="0"/>
      <w:marBottom w:val="0"/>
      <w:divBdr>
        <w:top w:val="none" w:sz="0" w:space="0" w:color="auto"/>
        <w:left w:val="none" w:sz="0" w:space="0" w:color="auto"/>
        <w:bottom w:val="none" w:sz="0" w:space="0" w:color="auto"/>
        <w:right w:val="none" w:sz="0" w:space="0" w:color="auto"/>
      </w:divBdr>
    </w:div>
    <w:div w:id="96558466">
      <w:marLeft w:val="0"/>
      <w:marRight w:val="0"/>
      <w:marTop w:val="0"/>
      <w:marBottom w:val="0"/>
      <w:divBdr>
        <w:top w:val="none" w:sz="0" w:space="0" w:color="auto"/>
        <w:left w:val="none" w:sz="0" w:space="0" w:color="auto"/>
        <w:bottom w:val="none" w:sz="0" w:space="0" w:color="auto"/>
        <w:right w:val="none" w:sz="0" w:space="0" w:color="auto"/>
      </w:divBdr>
    </w:div>
    <w:div w:id="96558467">
      <w:marLeft w:val="0"/>
      <w:marRight w:val="0"/>
      <w:marTop w:val="0"/>
      <w:marBottom w:val="0"/>
      <w:divBdr>
        <w:top w:val="none" w:sz="0" w:space="0" w:color="auto"/>
        <w:left w:val="none" w:sz="0" w:space="0" w:color="auto"/>
        <w:bottom w:val="none" w:sz="0" w:space="0" w:color="auto"/>
        <w:right w:val="none" w:sz="0" w:space="0" w:color="auto"/>
      </w:divBdr>
    </w:div>
    <w:div w:id="96558468">
      <w:marLeft w:val="0"/>
      <w:marRight w:val="0"/>
      <w:marTop w:val="0"/>
      <w:marBottom w:val="0"/>
      <w:divBdr>
        <w:top w:val="none" w:sz="0" w:space="0" w:color="auto"/>
        <w:left w:val="none" w:sz="0" w:space="0" w:color="auto"/>
        <w:bottom w:val="none" w:sz="0" w:space="0" w:color="auto"/>
        <w:right w:val="none" w:sz="0" w:space="0" w:color="auto"/>
      </w:divBdr>
    </w:div>
    <w:div w:id="96558469">
      <w:marLeft w:val="0"/>
      <w:marRight w:val="0"/>
      <w:marTop w:val="0"/>
      <w:marBottom w:val="0"/>
      <w:divBdr>
        <w:top w:val="none" w:sz="0" w:space="0" w:color="auto"/>
        <w:left w:val="none" w:sz="0" w:space="0" w:color="auto"/>
        <w:bottom w:val="none" w:sz="0" w:space="0" w:color="auto"/>
        <w:right w:val="none" w:sz="0" w:space="0" w:color="auto"/>
      </w:divBdr>
    </w:div>
    <w:div w:id="96558470">
      <w:marLeft w:val="0"/>
      <w:marRight w:val="0"/>
      <w:marTop w:val="0"/>
      <w:marBottom w:val="0"/>
      <w:divBdr>
        <w:top w:val="none" w:sz="0" w:space="0" w:color="auto"/>
        <w:left w:val="none" w:sz="0" w:space="0" w:color="auto"/>
        <w:bottom w:val="none" w:sz="0" w:space="0" w:color="auto"/>
        <w:right w:val="none" w:sz="0" w:space="0" w:color="auto"/>
      </w:divBdr>
    </w:div>
    <w:div w:id="449321358">
      <w:bodyDiv w:val="1"/>
      <w:marLeft w:val="0"/>
      <w:marRight w:val="0"/>
      <w:marTop w:val="0"/>
      <w:marBottom w:val="0"/>
      <w:divBdr>
        <w:top w:val="none" w:sz="0" w:space="0" w:color="auto"/>
        <w:left w:val="none" w:sz="0" w:space="0" w:color="auto"/>
        <w:bottom w:val="none" w:sz="0" w:space="0" w:color="auto"/>
        <w:right w:val="none" w:sz="0" w:space="0" w:color="auto"/>
      </w:divBdr>
    </w:div>
    <w:div w:id="525564204">
      <w:bodyDiv w:val="1"/>
      <w:marLeft w:val="0"/>
      <w:marRight w:val="0"/>
      <w:marTop w:val="0"/>
      <w:marBottom w:val="0"/>
      <w:divBdr>
        <w:top w:val="none" w:sz="0" w:space="0" w:color="auto"/>
        <w:left w:val="none" w:sz="0" w:space="0" w:color="auto"/>
        <w:bottom w:val="none" w:sz="0" w:space="0" w:color="auto"/>
        <w:right w:val="none" w:sz="0" w:space="0" w:color="auto"/>
      </w:divBdr>
    </w:div>
    <w:div w:id="816075085">
      <w:bodyDiv w:val="1"/>
      <w:marLeft w:val="0"/>
      <w:marRight w:val="0"/>
      <w:marTop w:val="0"/>
      <w:marBottom w:val="0"/>
      <w:divBdr>
        <w:top w:val="none" w:sz="0" w:space="0" w:color="auto"/>
        <w:left w:val="none" w:sz="0" w:space="0" w:color="auto"/>
        <w:bottom w:val="none" w:sz="0" w:space="0" w:color="auto"/>
        <w:right w:val="none" w:sz="0" w:space="0" w:color="auto"/>
      </w:divBdr>
    </w:div>
    <w:div w:id="958537444">
      <w:bodyDiv w:val="1"/>
      <w:marLeft w:val="0"/>
      <w:marRight w:val="0"/>
      <w:marTop w:val="0"/>
      <w:marBottom w:val="0"/>
      <w:divBdr>
        <w:top w:val="none" w:sz="0" w:space="0" w:color="auto"/>
        <w:left w:val="none" w:sz="0" w:space="0" w:color="auto"/>
        <w:bottom w:val="none" w:sz="0" w:space="0" w:color="auto"/>
        <w:right w:val="none" w:sz="0" w:space="0" w:color="auto"/>
      </w:divBdr>
      <w:divsChild>
        <w:div w:id="129908712">
          <w:marLeft w:val="0"/>
          <w:marRight w:val="0"/>
          <w:marTop w:val="0"/>
          <w:marBottom w:val="480"/>
          <w:divBdr>
            <w:top w:val="none" w:sz="0" w:space="0" w:color="auto"/>
            <w:left w:val="none" w:sz="0" w:space="0" w:color="auto"/>
            <w:bottom w:val="none" w:sz="0" w:space="0" w:color="auto"/>
            <w:right w:val="none" w:sz="0" w:space="0" w:color="auto"/>
          </w:divBdr>
        </w:div>
        <w:div w:id="646788758">
          <w:marLeft w:val="0"/>
          <w:marRight w:val="0"/>
          <w:marTop w:val="0"/>
          <w:marBottom w:val="480"/>
          <w:divBdr>
            <w:top w:val="none" w:sz="0" w:space="0" w:color="auto"/>
            <w:left w:val="none" w:sz="0" w:space="0" w:color="auto"/>
            <w:bottom w:val="none" w:sz="0" w:space="0" w:color="auto"/>
            <w:right w:val="none" w:sz="0" w:space="0" w:color="auto"/>
          </w:divBdr>
        </w:div>
      </w:divsChild>
    </w:div>
    <w:div w:id="1063720109">
      <w:bodyDiv w:val="1"/>
      <w:marLeft w:val="0"/>
      <w:marRight w:val="0"/>
      <w:marTop w:val="0"/>
      <w:marBottom w:val="0"/>
      <w:divBdr>
        <w:top w:val="none" w:sz="0" w:space="0" w:color="auto"/>
        <w:left w:val="none" w:sz="0" w:space="0" w:color="auto"/>
        <w:bottom w:val="none" w:sz="0" w:space="0" w:color="auto"/>
        <w:right w:val="none" w:sz="0" w:space="0" w:color="auto"/>
      </w:divBdr>
    </w:div>
    <w:div w:id="1277565530">
      <w:bodyDiv w:val="1"/>
      <w:marLeft w:val="0"/>
      <w:marRight w:val="0"/>
      <w:marTop w:val="0"/>
      <w:marBottom w:val="0"/>
      <w:divBdr>
        <w:top w:val="none" w:sz="0" w:space="0" w:color="auto"/>
        <w:left w:val="none" w:sz="0" w:space="0" w:color="auto"/>
        <w:bottom w:val="none" w:sz="0" w:space="0" w:color="auto"/>
        <w:right w:val="none" w:sz="0" w:space="0" w:color="auto"/>
      </w:divBdr>
    </w:div>
    <w:div w:id="1829856084">
      <w:bodyDiv w:val="1"/>
      <w:marLeft w:val="0"/>
      <w:marRight w:val="0"/>
      <w:marTop w:val="0"/>
      <w:marBottom w:val="0"/>
      <w:divBdr>
        <w:top w:val="none" w:sz="0" w:space="0" w:color="auto"/>
        <w:left w:val="none" w:sz="0" w:space="0" w:color="auto"/>
        <w:bottom w:val="none" w:sz="0" w:space="0" w:color="auto"/>
        <w:right w:val="none" w:sz="0" w:space="0" w:color="auto"/>
      </w:divBdr>
    </w:div>
    <w:div w:id="1893883341">
      <w:bodyDiv w:val="1"/>
      <w:marLeft w:val="0"/>
      <w:marRight w:val="0"/>
      <w:marTop w:val="0"/>
      <w:marBottom w:val="0"/>
      <w:divBdr>
        <w:top w:val="none" w:sz="0" w:space="0" w:color="auto"/>
        <w:left w:val="none" w:sz="0" w:space="0" w:color="auto"/>
        <w:bottom w:val="none" w:sz="0" w:space="0" w:color="auto"/>
        <w:right w:val="none" w:sz="0" w:space="0" w:color="auto"/>
      </w:divBdr>
    </w:div>
    <w:div w:id="1926650991">
      <w:bodyDiv w:val="1"/>
      <w:marLeft w:val="0"/>
      <w:marRight w:val="0"/>
      <w:marTop w:val="0"/>
      <w:marBottom w:val="0"/>
      <w:divBdr>
        <w:top w:val="none" w:sz="0" w:space="0" w:color="auto"/>
        <w:left w:val="none" w:sz="0" w:space="0" w:color="auto"/>
        <w:bottom w:val="none" w:sz="0" w:space="0" w:color="auto"/>
        <w:right w:val="none" w:sz="0" w:space="0" w:color="auto"/>
      </w:divBdr>
    </w:div>
    <w:div w:id="19864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money.pl/wiadomosci/inflacja-w-polsc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money.pl/gospodarka/produkt-krajowy-brutto-pkb-polski-za-drugi-kwartal-2022-szybki-szacunek-gus-6802315435952704a.html"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galus\Downloads\Wskazniki%20Punkty%202022%20(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galus\Desktop\dane%20do%20wykres&#243;w.od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TABELA PUNTÓW OGÓŁEM ZA LATA  2022, 2023, 2024, 2025</a:t>
            </a:r>
          </a:p>
        </c:rich>
      </c:tx>
      <c:overlay val="0"/>
    </c:title>
    <c:autoTitleDeleted val="0"/>
    <c:plotArea>
      <c:layout/>
      <c:barChart>
        <c:barDir val="col"/>
        <c:grouping val="clustered"/>
        <c:varyColors val="0"/>
        <c:ser>
          <c:idx val="0"/>
          <c:order val="0"/>
          <c:spPr>
            <a:solidFill>
              <a:srgbClr val="9BBB59"/>
            </a:solidFill>
            <a:ln w="25400">
              <a:noFill/>
            </a:ln>
          </c:spPr>
          <c:invertIfNegative val="0"/>
          <c:cat>
            <c:strRef>
              <c:f>'TABELA PUNKTÓW OGÓŁEM '!$B$3:$E$4</c:f>
              <c:strCache>
                <c:ptCount val="4"/>
                <c:pt idx="0">
                  <c:v>2022</c:v>
                </c:pt>
                <c:pt idx="1">
                  <c:v>2023</c:v>
                </c:pt>
                <c:pt idx="2">
                  <c:v>2024</c:v>
                </c:pt>
                <c:pt idx="3">
                  <c:v>2025</c:v>
                </c:pt>
              </c:strCache>
            </c:strRef>
          </c:cat>
          <c:val>
            <c:numRef>
              <c:f>'TABELA PUNKTÓW OGÓŁEM '!$B$14:$E$14</c:f>
              <c:numCache>
                <c:formatCode>#,##0</c:formatCode>
                <c:ptCount val="4"/>
                <c:pt idx="0">
                  <c:v>13</c:v>
                </c:pt>
                <c:pt idx="1">
                  <c:v>25</c:v>
                </c:pt>
                <c:pt idx="2">
                  <c:v>25</c:v>
                </c:pt>
                <c:pt idx="3">
                  <c:v>32</c:v>
                </c:pt>
              </c:numCache>
            </c:numRef>
          </c:val>
          <c:extLst>
            <c:ext xmlns:c16="http://schemas.microsoft.com/office/drawing/2014/chart" uri="{C3380CC4-5D6E-409C-BE32-E72D297353CC}">
              <c16:uniqueId val="{00000000-1CA7-454C-B2C8-FC68B74A5CE2}"/>
            </c:ext>
          </c:extLst>
        </c:ser>
        <c:dLbls>
          <c:showLegendKey val="0"/>
          <c:showVal val="0"/>
          <c:showCatName val="0"/>
          <c:showSerName val="0"/>
          <c:showPercent val="0"/>
          <c:showBubbleSize val="0"/>
        </c:dLbls>
        <c:gapWidth val="150"/>
        <c:axId val="545959888"/>
        <c:axId val="1"/>
      </c:barChart>
      <c:catAx>
        <c:axId val="545959888"/>
        <c:scaling>
          <c:orientation val="minMax"/>
        </c:scaling>
        <c:delete val="0"/>
        <c:axPos val="b"/>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pl-PL"/>
          </a:p>
        </c:txPr>
        <c:crossAx val="5459598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sz="1600" b="1" i="0" u="none" strike="noStrike" kern="1200" baseline="0">
                <a:solidFill>
                  <a:srgbClr val="595959"/>
                </a:solidFill>
                <a:latin typeface="Calibri"/>
              </a:defRPr>
            </a:pPr>
            <a:r>
              <a:rPr lang="pl-PL" sz="1600" b="1" i="0" u="none" strike="noStrike" kern="1200" cap="none" spc="0" baseline="0">
                <a:solidFill>
                  <a:srgbClr val="595959"/>
                </a:solidFill>
                <a:uFillTx/>
                <a:latin typeface="Calibri"/>
              </a:rPr>
              <a:t>TABELA PUNKTÓW OGÓŁEM ZA LATA  2022, 2023, 2024, 2025</a:t>
            </a:r>
          </a:p>
        </c:rich>
      </c:tx>
      <c:overlay val="0"/>
      <c:spPr>
        <a:noFill/>
        <a:ln>
          <a:noFill/>
        </a:ln>
      </c:spPr>
    </c:title>
    <c:autoTitleDeleted val="0"/>
    <c:plotArea>
      <c:layout>
        <c:manualLayout>
          <c:xMode val="edge"/>
          <c:yMode val="edge"/>
          <c:x val="5.681821571117616E-3"/>
          <c:y val="0.14681484113249532"/>
          <c:w val="0.97864082476785053"/>
          <c:h val="0.81684026279575994"/>
        </c:manualLayout>
      </c:layout>
      <c:barChart>
        <c:barDir val="col"/>
        <c:grouping val="clustered"/>
        <c:varyColors val="0"/>
        <c:ser>
          <c:idx val="0"/>
          <c:order val="0"/>
          <c:tx>
            <c:strRef>
              <c:f>Arkusz1!$B$1</c:f>
              <c:strCache>
                <c:ptCount val="1"/>
                <c:pt idx="0">
                  <c:v>2022</c:v>
                </c:pt>
              </c:strCache>
            </c:strRef>
          </c:tx>
          <c:spPr>
            <a:gradFill>
              <a:gsLst>
                <a:gs pos="0">
                  <a:srgbClr val="6083CB"/>
                </a:gs>
                <a:gs pos="100000">
                  <a:srgbClr val="3E70CA"/>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Arkusz1!$B$2:$B$10</c:f>
              <c:numCache>
                <c:formatCode>General</c:formatCode>
                <c:ptCount val="9"/>
                <c:pt idx="0">
                  <c:v>0</c:v>
                </c:pt>
                <c:pt idx="1">
                  <c:v>0</c:v>
                </c:pt>
                <c:pt idx="2">
                  <c:v>0</c:v>
                </c:pt>
                <c:pt idx="3">
                  <c:v>0</c:v>
                </c:pt>
                <c:pt idx="4">
                  <c:v>0</c:v>
                </c:pt>
                <c:pt idx="5">
                  <c:v>3</c:v>
                </c:pt>
                <c:pt idx="6">
                  <c:v>7</c:v>
                </c:pt>
                <c:pt idx="7">
                  <c:v>3</c:v>
                </c:pt>
                <c:pt idx="8">
                  <c:v>0</c:v>
                </c:pt>
              </c:numCache>
            </c:numRef>
          </c:val>
          <c:extLst>
            <c:ext xmlns:c16="http://schemas.microsoft.com/office/drawing/2014/chart" uri="{C3380CC4-5D6E-409C-BE32-E72D297353CC}">
              <c16:uniqueId val="{00000000-D5D8-4DD9-85BD-529289D00081}"/>
            </c:ext>
          </c:extLst>
        </c:ser>
        <c:ser>
          <c:idx val="1"/>
          <c:order val="1"/>
          <c:tx>
            <c:strRef>
              <c:f>Arkusz1!$C$1</c:f>
              <c:strCache>
                <c:ptCount val="1"/>
                <c:pt idx="0">
                  <c:v>2023</c:v>
                </c:pt>
              </c:strCache>
            </c:strRef>
          </c:tx>
          <c:spPr>
            <a:gradFill>
              <a:gsLst>
                <a:gs pos="0">
                  <a:srgbClr val="F18C55"/>
                </a:gs>
                <a:gs pos="100000">
                  <a:srgbClr val="F67B28"/>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Arkusz1!$C$2:$C$10</c:f>
              <c:numCache>
                <c:formatCode>General</c:formatCode>
                <c:ptCount val="9"/>
                <c:pt idx="0">
                  <c:v>0</c:v>
                </c:pt>
                <c:pt idx="1">
                  <c:v>0</c:v>
                </c:pt>
                <c:pt idx="2">
                  <c:v>0</c:v>
                </c:pt>
                <c:pt idx="3">
                  <c:v>0</c:v>
                </c:pt>
                <c:pt idx="4">
                  <c:v>8</c:v>
                </c:pt>
                <c:pt idx="5">
                  <c:v>2</c:v>
                </c:pt>
                <c:pt idx="6">
                  <c:v>7</c:v>
                </c:pt>
                <c:pt idx="7">
                  <c:v>8</c:v>
                </c:pt>
                <c:pt idx="8">
                  <c:v>0</c:v>
                </c:pt>
              </c:numCache>
            </c:numRef>
          </c:val>
          <c:extLst>
            <c:ext xmlns:c16="http://schemas.microsoft.com/office/drawing/2014/chart" uri="{C3380CC4-5D6E-409C-BE32-E72D297353CC}">
              <c16:uniqueId val="{00000001-D5D8-4DD9-85BD-529289D00081}"/>
            </c:ext>
          </c:extLst>
        </c:ser>
        <c:ser>
          <c:idx val="2"/>
          <c:order val="2"/>
          <c:tx>
            <c:strRef>
              <c:f>Arkusz1!$D$1</c:f>
              <c:strCache>
                <c:ptCount val="1"/>
                <c:pt idx="0">
                  <c:v>2024</c:v>
                </c:pt>
              </c:strCache>
            </c:strRef>
          </c:tx>
          <c:spPr>
            <a:gradFill>
              <a:gsLst>
                <a:gs pos="0">
                  <a:srgbClr val="AFAFAF"/>
                </a:gs>
                <a:gs pos="100000">
                  <a:srgbClr val="A5A5A5"/>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Arkusz1!$D$2:$D$10</c:f>
              <c:numCache>
                <c:formatCode>General</c:formatCode>
                <c:ptCount val="9"/>
                <c:pt idx="0">
                  <c:v>0</c:v>
                </c:pt>
                <c:pt idx="1">
                  <c:v>0</c:v>
                </c:pt>
                <c:pt idx="2">
                  <c:v>0</c:v>
                </c:pt>
                <c:pt idx="3">
                  <c:v>0</c:v>
                </c:pt>
                <c:pt idx="4">
                  <c:v>8</c:v>
                </c:pt>
                <c:pt idx="5">
                  <c:v>2</c:v>
                </c:pt>
                <c:pt idx="6">
                  <c:v>7</c:v>
                </c:pt>
                <c:pt idx="7">
                  <c:v>8</c:v>
                </c:pt>
                <c:pt idx="8">
                  <c:v>0</c:v>
                </c:pt>
              </c:numCache>
            </c:numRef>
          </c:val>
          <c:extLst>
            <c:ext xmlns:c16="http://schemas.microsoft.com/office/drawing/2014/chart" uri="{C3380CC4-5D6E-409C-BE32-E72D297353CC}">
              <c16:uniqueId val="{00000002-D5D8-4DD9-85BD-529289D00081}"/>
            </c:ext>
          </c:extLst>
        </c:ser>
        <c:ser>
          <c:idx val="3"/>
          <c:order val="3"/>
          <c:tx>
            <c:strRef>
              <c:f>Arkusz1!$E$1</c:f>
              <c:strCache>
                <c:ptCount val="1"/>
                <c:pt idx="0">
                  <c:v>2025</c:v>
                </c:pt>
              </c:strCache>
            </c:strRef>
          </c:tx>
          <c:spPr>
            <a:gradFill>
              <a:gsLst>
                <a:gs pos="0">
                  <a:srgbClr val="FFC746"/>
                </a:gs>
                <a:gs pos="100000">
                  <a:srgbClr val="FFC600"/>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Arkusz1!$E$2:$E$10</c:f>
              <c:numCache>
                <c:formatCode>General</c:formatCode>
                <c:ptCount val="9"/>
                <c:pt idx="0">
                  <c:v>0</c:v>
                </c:pt>
                <c:pt idx="1">
                  <c:v>3</c:v>
                </c:pt>
                <c:pt idx="2">
                  <c:v>0</c:v>
                </c:pt>
                <c:pt idx="3">
                  <c:v>4</c:v>
                </c:pt>
                <c:pt idx="4">
                  <c:v>8</c:v>
                </c:pt>
                <c:pt idx="5">
                  <c:v>2</c:v>
                </c:pt>
                <c:pt idx="6">
                  <c:v>7</c:v>
                </c:pt>
                <c:pt idx="7">
                  <c:v>8</c:v>
                </c:pt>
                <c:pt idx="8">
                  <c:v>0</c:v>
                </c:pt>
              </c:numCache>
            </c:numRef>
          </c:val>
          <c:extLst>
            <c:ext xmlns:c16="http://schemas.microsoft.com/office/drawing/2014/chart" uri="{C3380CC4-5D6E-409C-BE32-E72D297353CC}">
              <c16:uniqueId val="{00000003-D5D8-4DD9-85BD-529289D00081}"/>
            </c:ext>
          </c:extLst>
        </c:ser>
        <c:dLbls>
          <c:showLegendKey val="0"/>
          <c:showVal val="0"/>
          <c:showCatName val="0"/>
          <c:showSerName val="0"/>
          <c:showPercent val="0"/>
          <c:showBubbleSize val="0"/>
        </c:dLbls>
        <c:gapWidth val="150"/>
        <c:axId val="658020840"/>
        <c:axId val="658018320"/>
      </c:barChart>
      <c:valAx>
        <c:axId val="658018320"/>
        <c:scaling>
          <c:orientation val="minMax"/>
        </c:scaling>
        <c:delete val="0"/>
        <c:axPos val="l"/>
        <c:majorGridlines>
          <c:spPr>
            <a:ln w="9528" cap="flat">
              <a:solidFill>
                <a:srgbClr val="D9D9D9"/>
              </a:solidFill>
              <a:prstDash val="solid"/>
              <a:round/>
            </a:ln>
          </c:spPr>
        </c:majorGridlines>
        <c:numFmt formatCode="General" sourceLinked="1"/>
        <c:majorTickMark val="out"/>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crossAx val="658020840"/>
        <c:crosses val="autoZero"/>
        <c:crossBetween val="between"/>
      </c:valAx>
      <c:catAx>
        <c:axId val="658020840"/>
        <c:scaling>
          <c:orientation val="minMax"/>
        </c:scaling>
        <c:delete val="0"/>
        <c:axPos val="b"/>
        <c:numFmt formatCode="General" sourceLinked="1"/>
        <c:majorTickMark val="out"/>
        <c:minorTickMark val="none"/>
        <c:tickLblPos val="nextTo"/>
        <c:spPr>
          <a:noFill/>
          <a:ln w="12701"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crossAx val="65801832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44546A"/>
          </a:solidFill>
          <a:latin typeface="Calibri"/>
        </a:defRPr>
      </a:pPr>
      <a:endParaRPr lang="pl-P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115</TotalTime>
  <Pages>31</Pages>
  <Words>8525</Words>
  <Characters>51156</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Galus</dc:creator>
  <cp:keywords/>
  <dc:description/>
  <cp:lastModifiedBy>Szpital Kolejowy</cp:lastModifiedBy>
  <cp:revision>8</cp:revision>
  <cp:lastPrinted>2023-04-18T09:11:00Z</cp:lastPrinted>
  <dcterms:created xsi:type="dcterms:W3CDTF">2023-04-18T07:18:00Z</dcterms:created>
  <dcterms:modified xsi:type="dcterms:W3CDTF">2023-04-18T09:15:00Z</dcterms:modified>
</cp:coreProperties>
</file>