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rPr>
          <w:rFonts w:ascii="Times New Roman" w:hAnsi="Times New Roman" w:eastAsia="Times New Roman" w:cs="Times New Roman"/>
          <w:color w:val="FF0000"/>
          <w:sz w:val="22"/>
        </w:rPr>
      </w:pPr>
      <w:r>
        <w:rPr>
          <w:rFonts w:eastAsia="Times New Roman" w:cs="Times New Roman" w:ascii="Times New Roman" w:hAnsi="Times New Roman"/>
          <w:color w:val="FF0000"/>
          <w:sz w:val="22"/>
        </w:rPr>
        <w:t>Uwaga: W przypadku gdy Zamawiający wpisał w formularzu stawkę VAT a wykonawca stosuje inną stawkę VAT, wykonawca wpisuje prawidłową stawkę oraz umieszcza adnotację pod tabelą o zmianie stawki VAT. Jeżeli wykonawcy przysługuje preferencyjna (niższa) stawka VAT zobowiązany jest złożyć odpowiednie wyjaśnienia i dowody. Jednocześnie wykonawca złoży oświadczenie o niezmienności klasyfikacji stawki VAT przez okres obowiązywania umowy (nie dotyczy zmian publiczno-prawnych). W przypadku zmian stawki VAT o innym charakterze niż publiczno-prawne zmiany cena jednostkowa brutto produktu nie ulegnie zmianie. W przypadku stawek VAT wyższych nie jest zobowiązany do składania wyjaśnień</w:t>
      </w:r>
    </w:p>
    <w:p>
      <w:pPr>
        <w:pStyle w:val="Normal"/>
        <w:spacing w:before="0" w:after="200"/>
        <w:rPr>
          <w:rFonts w:ascii="Times New Roman" w:hAnsi="Times New Roman" w:eastAsia="Times New Roman" w:cs="Times New Roman"/>
          <w:color w:val="FF0000"/>
          <w:sz w:val="22"/>
        </w:rPr>
      </w:pPr>
      <w:r>
        <w:rPr>
          <w:rFonts w:eastAsia="Times New Roman" w:cs="Times New Roman" w:ascii="Times New Roman" w:hAnsi="Times New Roman"/>
          <w:color w:val="FF0000"/>
          <w:sz w:val="22"/>
        </w:rPr>
        <w:t xml:space="preserve">Uwaga: W przypadku gdy minimalna liczba zamówienia lub liczba opcji  jest mniejsza niż sposób konfekcjonowania asortymentu, to Wykonawca przelicza na pełne opakowania i  zaokrągla liczbę niepełnego opakowania: </w:t>
      </w:r>
    </w:p>
    <w:p>
      <w:pPr>
        <w:pStyle w:val="ListParagraph"/>
        <w:numPr>
          <w:ilvl w:val="0"/>
          <w:numId w:val="10"/>
        </w:numPr>
        <w:spacing w:before="0" w:after="200"/>
        <w:contextualSpacing/>
        <w:rPr>
          <w:rFonts w:ascii="Times New Roman" w:hAnsi="Times New Roman" w:eastAsia="Times New Roman" w:cs="Times New Roman"/>
          <w:color w:val="FF0000"/>
          <w:sz w:val="22"/>
        </w:rPr>
      </w:pPr>
      <w:r>
        <w:rPr>
          <w:rFonts w:eastAsia="Times New Roman" w:cs="Times New Roman" w:ascii="Times New Roman" w:hAnsi="Times New Roman"/>
          <w:color w:val="FF0000"/>
          <w:sz w:val="22"/>
        </w:rPr>
        <w:t>w dół w przypadku otrzymana liczba niepełnego opakowania jest do 50% pełnej liczby opakowania,</w:t>
      </w:r>
    </w:p>
    <w:p>
      <w:pPr>
        <w:pStyle w:val="ListParagraph"/>
        <w:numPr>
          <w:ilvl w:val="0"/>
          <w:numId w:val="10"/>
        </w:numPr>
        <w:spacing w:before="0" w:after="200"/>
        <w:contextualSpacing/>
        <w:rPr>
          <w:rFonts w:ascii="Times New Roman" w:hAnsi="Times New Roman" w:eastAsia="Times New Roman" w:cs="Times New Roman"/>
          <w:color w:val="FF0000"/>
          <w:sz w:val="22"/>
        </w:rPr>
      </w:pPr>
      <w:r>
        <w:rPr>
          <w:rFonts w:eastAsia="Times New Roman" w:cs="Times New Roman" w:ascii="Times New Roman" w:hAnsi="Times New Roman"/>
          <w:color w:val="FF0000"/>
          <w:sz w:val="22"/>
        </w:rPr>
        <w:t xml:space="preserve">w górę w przypadku otrzymana liczba niepełnego opakowania jest większa niż 50% pełnej liczby opakowania. </w:t>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t>Formularz asortymentowo-cenowy</w:t>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 xml:space="preserve">Pakiet nr 1 – Odczynniki </w:t>
      </w:r>
      <w:r>
        <w:rPr>
          <w:rFonts w:eastAsia="Times New Roman" w:cs="Times New Roman" w:ascii="Times New Roman" w:hAnsi="Times New Roman"/>
          <w:b/>
          <w:color w:val="000000"/>
          <w:sz w:val="22"/>
        </w:rPr>
        <w:t xml:space="preserve"> monoklonalne i PBS do badań immunohematologicznych</w:t>
      </w:r>
    </w:p>
    <w:tbl>
      <w:tblPr>
        <w:tblW w:w="8901" w:type="dxa"/>
        <w:jc w:val="left"/>
        <w:tblInd w:w="161" w:type="dxa"/>
        <w:tblLayout w:type="fixed"/>
        <w:tblCellMar>
          <w:top w:w="0" w:type="dxa"/>
          <w:left w:w="108" w:type="dxa"/>
          <w:bottom w:w="0" w:type="dxa"/>
          <w:right w:w="108" w:type="dxa"/>
        </w:tblCellMar>
        <w:tblLook w:firstRow="0" w:noVBand="0" w:lastRow="0" w:firstColumn="0" w:lastColumn="0" w:noHBand="0" w:val="0000"/>
      </w:tblPr>
      <w:tblGrid>
        <w:gridCol w:w="462"/>
        <w:gridCol w:w="623"/>
        <w:gridCol w:w="1069"/>
        <w:gridCol w:w="759"/>
        <w:gridCol w:w="1054"/>
        <w:gridCol w:w="1030"/>
        <w:gridCol w:w="647"/>
        <w:gridCol w:w="1093"/>
        <w:gridCol w:w="809"/>
        <w:gridCol w:w="553"/>
        <w:gridCol w:w="801"/>
      </w:tblGrid>
      <w:tr>
        <w:trPr/>
        <w:tc>
          <w:tcPr>
            <w:tcW w:w="46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692" w:type="dxa"/>
            <w:gridSpan w:val="2"/>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759"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1054"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 / Nazwa/ Nr katalogowy</w:t>
            </w:r>
          </w:p>
        </w:tc>
        <w:tc>
          <w:tcPr>
            <w:tcW w:w="1030"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647"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93"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809"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 xml:space="preserve">netto (3x7) </w:t>
            </w:r>
          </w:p>
          <w:p>
            <w:pPr>
              <w:pStyle w:val="Normal"/>
              <w:widowControl w:val="false"/>
              <w:spacing w:lineRule="auto" w:line="240" w:before="0" w:after="0"/>
              <w:rPr>
                <w:rFonts w:ascii="Times New Roman" w:hAnsi="Times New Roman" w:eastAsia="Times New Roman" w:cs="Times New Roman"/>
                <w:sz w:val="16"/>
              </w:rPr>
            </w:pPr>
            <w:r>
              <w:rPr>
                <w:rFonts w:eastAsia="Times New Roman" w:cs="Times New Roman" w:ascii="Times New Roman" w:hAnsi="Times New Roman"/>
                <w:sz w:val="16"/>
              </w:rPr>
            </w:r>
          </w:p>
          <w:p>
            <w:pPr>
              <w:pStyle w:val="Normal"/>
              <w:widowControl w:val="false"/>
              <w:spacing w:lineRule="auto" w:line="240" w:before="0" w:after="0"/>
              <w:rPr/>
            </w:pPr>
            <w:r>
              <w:rPr/>
            </w:r>
          </w:p>
        </w:tc>
        <w:tc>
          <w:tcPr>
            <w:tcW w:w="553"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 VAT</w:t>
            </w:r>
          </w:p>
        </w:tc>
        <w:tc>
          <w:tcPr>
            <w:tcW w:w="801"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Wartość brutto</w:t>
            </w:r>
          </w:p>
        </w:tc>
      </w:tr>
      <w:tr>
        <w:trPr/>
        <w:tc>
          <w:tcPr>
            <w:tcW w:w="46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1</w:t>
            </w:r>
          </w:p>
        </w:tc>
        <w:tc>
          <w:tcPr>
            <w:tcW w:w="1692" w:type="dxa"/>
            <w:gridSpan w:val="2"/>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2</w:t>
            </w:r>
          </w:p>
        </w:tc>
        <w:tc>
          <w:tcPr>
            <w:tcW w:w="759"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3</w:t>
            </w:r>
          </w:p>
        </w:tc>
        <w:tc>
          <w:tcPr>
            <w:tcW w:w="1054"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4</w:t>
            </w:r>
          </w:p>
        </w:tc>
        <w:tc>
          <w:tcPr>
            <w:tcW w:w="1030"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5</w:t>
            </w:r>
          </w:p>
        </w:tc>
        <w:tc>
          <w:tcPr>
            <w:tcW w:w="647"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6</w:t>
            </w:r>
          </w:p>
        </w:tc>
        <w:tc>
          <w:tcPr>
            <w:tcW w:w="1093"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7</w:t>
            </w:r>
          </w:p>
        </w:tc>
        <w:tc>
          <w:tcPr>
            <w:tcW w:w="809"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8</w:t>
            </w:r>
          </w:p>
        </w:tc>
        <w:tc>
          <w:tcPr>
            <w:tcW w:w="553"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9</w:t>
            </w:r>
          </w:p>
        </w:tc>
        <w:tc>
          <w:tcPr>
            <w:tcW w:w="801"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10</w:t>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w:t>
            </w:r>
          </w:p>
        </w:tc>
        <w:tc>
          <w:tcPr>
            <w:tcW w:w="1692"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Odczynnik monoklonalny anty- A   / klon BIRMA-1  / op a 10ml</w:t>
            </w:r>
          </w:p>
        </w:tc>
        <w:tc>
          <w:tcPr>
            <w:tcW w:w="75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op</w:t>
            </w:r>
          </w:p>
        </w:tc>
        <w:tc>
          <w:tcPr>
            <w:tcW w:w="105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op.</w:t>
            </w:r>
          </w:p>
        </w:tc>
        <w:tc>
          <w:tcPr>
            <w:tcW w:w="6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op.</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w:t>
            </w:r>
          </w:p>
        </w:tc>
        <w:tc>
          <w:tcPr>
            <w:tcW w:w="1692"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Odczynnik monoklonalny anty- A  /klon  inny niż BIRMA-1 / op a 10ml</w:t>
            </w:r>
          </w:p>
        </w:tc>
        <w:tc>
          <w:tcPr>
            <w:tcW w:w="75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op</w:t>
            </w:r>
          </w:p>
        </w:tc>
        <w:tc>
          <w:tcPr>
            <w:tcW w:w="105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op.</w:t>
            </w:r>
          </w:p>
        </w:tc>
        <w:tc>
          <w:tcPr>
            <w:tcW w:w="6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op.</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3.</w:t>
            </w:r>
          </w:p>
        </w:tc>
        <w:tc>
          <w:tcPr>
            <w:tcW w:w="1692"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Odczynnik monoklonalny anty – B  / klon LB-2 / op a 10ml</w:t>
            </w:r>
          </w:p>
        </w:tc>
        <w:tc>
          <w:tcPr>
            <w:tcW w:w="75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op</w:t>
            </w:r>
          </w:p>
        </w:tc>
        <w:tc>
          <w:tcPr>
            <w:tcW w:w="105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op.</w:t>
            </w:r>
          </w:p>
        </w:tc>
        <w:tc>
          <w:tcPr>
            <w:tcW w:w="6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op.</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w:t>
            </w:r>
          </w:p>
        </w:tc>
        <w:tc>
          <w:tcPr>
            <w:tcW w:w="1692"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Odczynnik monoklonalny anty – B  /klon inny niż LB-2 / op a 10ml</w:t>
            </w:r>
          </w:p>
        </w:tc>
        <w:tc>
          <w:tcPr>
            <w:tcW w:w="75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op</w:t>
            </w:r>
          </w:p>
        </w:tc>
        <w:tc>
          <w:tcPr>
            <w:tcW w:w="105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op.</w:t>
            </w:r>
          </w:p>
        </w:tc>
        <w:tc>
          <w:tcPr>
            <w:tcW w:w="6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op.</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w:t>
            </w:r>
          </w:p>
        </w:tc>
        <w:tc>
          <w:tcPr>
            <w:tcW w:w="1692"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Odczynnik monoklonalny anty – D  (IgG+IgM) / op a 10ml</w:t>
            </w:r>
          </w:p>
        </w:tc>
        <w:tc>
          <w:tcPr>
            <w:tcW w:w="75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op</w:t>
            </w:r>
          </w:p>
        </w:tc>
        <w:tc>
          <w:tcPr>
            <w:tcW w:w="105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op.</w:t>
            </w:r>
          </w:p>
        </w:tc>
        <w:tc>
          <w:tcPr>
            <w:tcW w:w="6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op.</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r>
          </w:p>
          <w:p>
            <w:pPr>
              <w:pStyle w:val="Normal"/>
              <w:widowControl w:val="false"/>
              <w:spacing w:lineRule="auto" w:line="240" w:before="0" w:after="0"/>
              <w:rPr/>
            </w:pPr>
            <w:r>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6.</w:t>
            </w:r>
          </w:p>
        </w:tc>
        <w:tc>
          <w:tcPr>
            <w:tcW w:w="1692"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Odczynnik monoklonalny anty – D  (IgM) / op a 10ml</w:t>
            </w:r>
          </w:p>
        </w:tc>
        <w:tc>
          <w:tcPr>
            <w:tcW w:w="75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op</w:t>
            </w:r>
          </w:p>
        </w:tc>
        <w:tc>
          <w:tcPr>
            <w:tcW w:w="105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op.</w:t>
            </w:r>
          </w:p>
        </w:tc>
        <w:tc>
          <w:tcPr>
            <w:tcW w:w="6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op.</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7.</w:t>
            </w:r>
          </w:p>
        </w:tc>
        <w:tc>
          <w:tcPr>
            <w:tcW w:w="1692"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sz w:val="20"/>
              </w:rPr>
              <w:t xml:space="preserve">PBS – buforowany roztwór soli fizjologicznej  (ph: 6,85-7,2) </w:t>
            </w:r>
            <w:r>
              <w:rPr>
                <w:rFonts w:eastAsia="Times New Roman" w:cs="Times New Roman" w:ascii="Times New Roman" w:hAnsi="Times New Roman"/>
                <w:sz w:val="20"/>
              </w:rPr>
              <w:t xml:space="preserve"> / but.  a 500 ml</w:t>
            </w:r>
          </w:p>
        </w:tc>
        <w:tc>
          <w:tcPr>
            <w:tcW w:w="75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20 but.</w:t>
            </w:r>
          </w:p>
        </w:tc>
        <w:tc>
          <w:tcPr>
            <w:tcW w:w="105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12 but.</w:t>
            </w:r>
          </w:p>
        </w:tc>
        <w:tc>
          <w:tcPr>
            <w:tcW w:w="647"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 but.</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r>
          </w:p>
          <w:p>
            <w:pPr>
              <w:pStyle w:val="Normal"/>
              <w:widowControl w:val="false"/>
              <w:spacing w:lineRule="auto" w:line="240" w:before="0" w:after="0"/>
              <w:rPr/>
            </w:pPr>
            <w:r>
              <w:rPr/>
            </w:r>
          </w:p>
        </w:tc>
        <w:tc>
          <w:tcPr>
            <w:tcW w:w="623"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559" w:type="dxa"/>
            <w:gridSpan w:val="5"/>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r>
          </w:p>
          <w:p>
            <w:pPr>
              <w:pStyle w:val="Normal"/>
              <w:widowControl w:val="false"/>
              <w:spacing w:lineRule="auto" w:line="240" w:before="0" w:after="0"/>
              <w:rPr/>
            </w:pPr>
            <w:r>
              <w:rPr>
                <w:rFonts w:eastAsia="Times New Roman" w:cs="Times New Roman" w:ascii="Times New Roman" w:hAnsi="Times New Roman"/>
                <w:b/>
                <w:sz w:val="20"/>
              </w:rPr>
              <w:t>Suma</w:t>
            </w:r>
          </w:p>
        </w:tc>
        <w:tc>
          <w:tcPr>
            <w:tcW w:w="1093" w:type="dxa"/>
            <w:tcBorders>
              <w:top w:val="single" w:sz="4" w:space="0" w:color="000001"/>
              <w:left w:val="single" w:sz="4" w:space="0" w:color="000001"/>
              <w:bottom w:val="single" w:sz="4" w:space="0" w:color="000001"/>
              <w:right w:val="single" w:sz="6"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9" w:type="dxa"/>
            <w:tcBorders>
              <w:top w:val="single" w:sz="4" w:space="0" w:color="000001"/>
              <w:left w:val="single" w:sz="4" w:space="0" w:color="000001"/>
              <w:bottom w:val="single" w:sz="4" w:space="0" w:color="000001"/>
              <w:right w:val="single" w:sz="6"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53" w:type="dxa"/>
            <w:tcBorders>
              <w:top w:val="single" w:sz="4" w:space="0" w:color="000001"/>
              <w:left w:val="single" w:sz="4" w:space="0" w:color="000001"/>
              <w:bottom w:val="single" w:sz="4" w:space="0" w:color="000001"/>
              <w:right w:val="single" w:sz="6"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1" w:type="dxa"/>
            <w:tcBorders>
              <w:top w:val="single" w:sz="4" w:space="0" w:color="000001"/>
              <w:left w:val="single" w:sz="4" w:space="0" w:color="000001"/>
              <w:bottom w:val="single" w:sz="4" w:space="0" w:color="000001"/>
              <w:right w:val="single" w:sz="4" w:space="0" w:color="000001"/>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Wymogi dodatkowe:</w:t>
      </w:r>
    </w:p>
    <w:p>
      <w:pPr>
        <w:pStyle w:val="Normal"/>
        <w:numPr>
          <w:ilvl w:val="0"/>
          <w:numId w:val="1"/>
        </w:numPr>
        <w:tabs>
          <w:tab w:val="clear" w:pos="708"/>
          <w:tab w:val="left" w:pos="0" w:leader="none"/>
        </w:tabs>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Wyroby muszą bezwzględnie spełniać wymagania ustawy o wyrobach medycznych z dn. 7.04.2022r (t.j. Dz.U. z 2024 r., poz. 1620 ze zm. )</w:t>
      </w:r>
    </w:p>
    <w:p>
      <w:pPr>
        <w:pStyle w:val="Normal"/>
        <w:numPr>
          <w:ilvl w:val="0"/>
          <w:numId w:val="1"/>
        </w:numPr>
        <w:tabs>
          <w:tab w:val="clear" w:pos="708"/>
          <w:tab w:val="left" w:pos="0" w:leader="none"/>
        </w:tabs>
        <w:spacing w:before="0" w:after="20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 xml:space="preserve">Do oferty należy dołączyć Certyfikaty WE (poz. 1-6) i Deklarację Zgodności CE (poz. 7). </w:t>
      </w:r>
    </w:p>
    <w:p>
      <w:pPr>
        <w:pStyle w:val="Normal"/>
        <w:numPr>
          <w:ilvl w:val="0"/>
          <w:numId w:val="1"/>
        </w:numPr>
        <w:tabs>
          <w:tab w:val="clear" w:pos="708"/>
          <w:tab w:val="left" w:pos="0" w:leader="none"/>
        </w:tabs>
        <w:spacing w:before="0" w:after="200"/>
        <w:jc w:val="both"/>
        <w:rPr>
          <w:rFonts w:ascii="Times New Roman" w:hAnsi="Times New Roman" w:eastAsia="Times New Roman" w:cs="Times New Roman"/>
          <w:b/>
          <w:b/>
          <w:color w:val="000000"/>
          <w:sz w:val="22"/>
          <w:shd w:fill="FFFF00" w:val="clear"/>
        </w:rPr>
      </w:pPr>
      <w:r>
        <w:rPr>
          <w:rFonts w:eastAsia="Times New Roman" w:cs="Times New Roman" w:ascii="Times New Roman" w:hAnsi="Times New Roman"/>
          <w:b/>
          <w:color w:val="000000"/>
          <w:sz w:val="22"/>
          <w:shd w:fill="FFFF00" w:val="clear"/>
        </w:rPr>
        <w:t>Uwaga: W przypadku certyfikatów WE nr 1434-IVDD-159/2022, nr 1434-1VDD-160/2022 i nr 1434-IVDD-161/2022 Zamawiający wymaga ważności certyfikatów na dzień 26 maja 2025 r. (Prezes Urzędu Rejestracji Produktów Leczniczych, Wyrobów Medycznych i Produktów Biobójczych nie sprzeciwia się wprowadzaniu do obrotu i do używania ww. wyrobów medycznych objętych ww. certyfikatami). Wykonawca zobowiązany jest na bieżąco do informowania o procesie certyfikacji. Jeżeli ww. wyroby medyczne uzyskają nowe certyfikaty Wykonawca zobowiązany jest dostarczyć je niezwłocznie. W przypadku stwierdzenia przez Zamawiającego braku dostarczenia nowych certyfikatów Zamawiający naliczy karę umowną w wysokości 1 000,00 zł. za każdy dzień zwłoki w dostarczeniu certyfikatów. W przypadku gdy Prezes Urzędu Rejestracji Produktów Leczniczych, Wyrobów Medycznych i Produktów Biobójczych wyrazi swój sprzeciw co do wprowadzania do obrotu i do używania ww. wyrobów medycznych objętych ww. certyfikatami, a ww. wyroby medyczne nie będą posiadały nowych certyfikatów, umowa ulegnie automatycznemu rozwiązaniu z dniem wniesienia sprzeciwu przez Prezesa</w:t>
      </w:r>
      <w:r>
        <w:rPr/>
        <w:t xml:space="preserve"> </w:t>
      </w:r>
      <w:r>
        <w:rPr>
          <w:rFonts w:eastAsia="Times New Roman" w:cs="Times New Roman" w:ascii="Times New Roman" w:hAnsi="Times New Roman"/>
          <w:b/>
          <w:color w:val="000000"/>
          <w:sz w:val="22"/>
          <w:shd w:fill="FFFF00" w:val="clear"/>
        </w:rPr>
        <w:t>Urzędu Rejestracji Produktów Leczniczych, Wyrobów Medycznych i Produktów Biobójczych.</w:t>
      </w:r>
    </w:p>
    <w:p>
      <w:pPr>
        <w:pStyle w:val="Normal"/>
        <w:numPr>
          <w:ilvl w:val="0"/>
          <w:numId w:val="1"/>
        </w:numPr>
        <w:tabs>
          <w:tab w:val="clear" w:pos="708"/>
          <w:tab w:val="left" w:pos="0" w:leader="none"/>
        </w:tabs>
        <w:spacing w:before="0" w:after="200"/>
        <w:rPr>
          <w:rFonts w:ascii="Calibri" w:hAnsi="Calibri" w:eastAsia="Calibri" w:cs="Calibri"/>
          <w:sz w:val="22"/>
        </w:rPr>
      </w:pPr>
      <w:r>
        <w:rPr>
          <w:rFonts w:eastAsia="Times New Roman" w:cs="Times New Roman" w:ascii="Times New Roman" w:hAnsi="Times New Roman"/>
          <w:b/>
          <w:sz w:val="22"/>
        </w:rPr>
        <w:t>W poz. 1-6: odczynniki przeznaczone do bezpośredniego zastosowanie w technikach probówkowych i szkiełkowych, t</w:t>
      </w:r>
      <w:r>
        <w:rPr>
          <w:rFonts w:eastAsia="Times New Roman" w:cs="Times New Roman" w:ascii="Times New Roman" w:hAnsi="Times New Roman"/>
          <w:b/>
          <w:color w:val="000000"/>
          <w:sz w:val="22"/>
        </w:rPr>
        <w:t xml:space="preserve">ermin ważności odczynników monoklonalnych min. 6 m-cy od daty dostarczenia, odczynniki muszą być w buteleczkach z zakraplaczem </w:t>
      </w:r>
      <w:r>
        <w:rPr>
          <w:rFonts w:eastAsia="Times New Roman" w:cs="Times New Roman" w:ascii="Times New Roman" w:hAnsi="Times New Roman"/>
          <w:b/>
          <w:color w:val="EE0000"/>
          <w:sz w:val="22"/>
        </w:rPr>
        <w:t>(termin nie dotyczy krwinek i zestawu próbek kontrolnych)</w:t>
      </w:r>
      <w:r>
        <w:rPr>
          <w:rFonts w:eastAsia="Times New Roman" w:cs="Times New Roman" w:ascii="Times New Roman" w:hAnsi="Times New Roman"/>
          <w:b/>
          <w:color w:val="000000"/>
          <w:sz w:val="22"/>
        </w:rPr>
        <w:t xml:space="preserve">; </w:t>
      </w:r>
    </w:p>
    <w:p>
      <w:pPr>
        <w:pStyle w:val="Normal"/>
        <w:numPr>
          <w:ilvl w:val="0"/>
          <w:numId w:val="1"/>
        </w:numPr>
        <w:tabs>
          <w:tab w:val="clear" w:pos="708"/>
          <w:tab w:val="left" w:pos="0" w:leader="none"/>
        </w:tabs>
        <w:spacing w:before="0" w:after="200"/>
        <w:rPr>
          <w:rFonts w:ascii="Calibri" w:hAnsi="Calibri" w:eastAsia="Calibri" w:cs="Calibri"/>
          <w:sz w:val="22"/>
        </w:rPr>
      </w:pPr>
      <w:r>
        <w:rPr>
          <w:rFonts w:eastAsia="Times New Roman" w:cs="Times New Roman" w:ascii="Times New Roman" w:hAnsi="Times New Roman"/>
          <w:b/>
          <w:color w:val="000000"/>
          <w:sz w:val="22"/>
        </w:rPr>
        <w:t>Do poz. 1-6: Zamawiający wymaga dołączenia do oferty protokoły kontroli jakości potwierdzające miano przeciwciał w odczynnikach monoklonalnych.</w:t>
      </w:r>
    </w:p>
    <w:p>
      <w:pPr>
        <w:pStyle w:val="Normal"/>
        <w:numPr>
          <w:ilvl w:val="0"/>
          <w:numId w:val="1"/>
        </w:numPr>
        <w:tabs>
          <w:tab w:val="clear" w:pos="708"/>
          <w:tab w:val="left" w:pos="0" w:leader="none"/>
        </w:tabs>
        <w:spacing w:before="0" w:after="200"/>
        <w:ind w:left="720" w:hanging="360"/>
        <w:rPr>
          <w:rFonts w:ascii="Calibri" w:hAnsi="Calibri" w:eastAsia="Calibri" w:cs="Calibri"/>
          <w:sz w:val="22"/>
        </w:rPr>
      </w:pPr>
      <w:r>
        <w:rPr>
          <w:rFonts w:eastAsia="Times New Roman" w:cs="Times New Roman" w:ascii="Times New Roman" w:hAnsi="Times New Roman"/>
          <w:b/>
          <w:sz w:val="22"/>
        </w:rPr>
        <w:t>Odczynniki monoklonalne anty-A: w ofercie należy podać nazwę klonów, odczynniki powinny wykazywać miano co najmniej 128 w technice probówkowej lub 64 w technice szkiełkowej z krwinkami wzorcowymi grupy A1</w:t>
      </w:r>
    </w:p>
    <w:p>
      <w:pPr>
        <w:pStyle w:val="Normal"/>
        <w:numPr>
          <w:ilvl w:val="0"/>
          <w:numId w:val="1"/>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Odczynniki monoklonalne anty-B: w ofercie należy podać nazwę klonów, odczynniki powinny wykazywać miano co najmniej 128 w technice probówkowej lub 64 w technice szkiełkowej z krwinkami wzorcowymi grupy B</w:t>
      </w:r>
    </w:p>
    <w:p>
      <w:pPr>
        <w:pStyle w:val="Normal"/>
        <w:numPr>
          <w:ilvl w:val="0"/>
          <w:numId w:val="1"/>
        </w:numPr>
        <w:tabs>
          <w:tab w:val="clear" w:pos="708"/>
          <w:tab w:val="left" w:pos="0" w:leader="none"/>
        </w:tabs>
        <w:spacing w:before="0" w:after="200"/>
        <w:ind w:left="720" w:hanging="360"/>
        <w:rPr>
          <w:rFonts w:ascii="Calibri" w:hAnsi="Calibri" w:eastAsia="Calibri" w:cs="Calibri"/>
          <w:sz w:val="22"/>
        </w:rPr>
      </w:pPr>
      <w:r>
        <w:rPr>
          <w:rFonts w:eastAsia="Times New Roman" w:cs="Times New Roman" w:ascii="Times New Roman" w:hAnsi="Times New Roman"/>
          <w:b/>
          <w:sz w:val="22"/>
        </w:rPr>
        <w:t xml:space="preserve">Odczynniki monoklonalne anty-D: </w:t>
      </w:r>
      <w:r>
        <w:rPr>
          <w:rFonts w:eastAsia="Times New Roman" w:cs="Times New Roman" w:ascii="Times New Roman" w:hAnsi="Times New Roman"/>
          <w:b/>
          <w:color w:val="000000"/>
          <w:sz w:val="22"/>
        </w:rPr>
        <w:t xml:space="preserve"> Zamawiający wymaga aby jeden z odczynników monoklonalnych anty-D wykrywał kategorię DVI antygenu D, a minimalne miano odczynników wynosiło: 64 dla met. probówkowej i 32 dla techniki szkiełkowej.</w:t>
      </w:r>
    </w:p>
    <w:p>
      <w:pPr>
        <w:pStyle w:val="Normal"/>
        <w:numPr>
          <w:ilvl w:val="0"/>
          <w:numId w:val="1"/>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Do każdej dostawy odczynników monoklonalnych muszą być dołączone certyfikaty jakości dla danej serii: świadectwa jakości producenta.</w:t>
      </w:r>
    </w:p>
    <w:p>
      <w:pPr>
        <w:pStyle w:val="Normal"/>
        <w:numPr>
          <w:ilvl w:val="0"/>
          <w:numId w:val="1"/>
        </w:numPr>
        <w:tabs>
          <w:tab w:val="clear" w:pos="708"/>
          <w:tab w:val="left" w:pos="0" w:leader="none"/>
        </w:tabs>
        <w:spacing w:before="0" w:after="200"/>
        <w:ind w:left="720" w:hanging="360"/>
        <w:rPr>
          <w:rFonts w:ascii="Times New Roman" w:hAnsi="Times New Roman" w:eastAsia="Times New Roman" w:cs="Times New Roman"/>
          <w:b/>
          <w:b/>
          <w:color w:val="000000"/>
        </w:rPr>
      </w:pPr>
      <w:r>
        <w:rPr>
          <w:rFonts w:eastAsia="Times New Roman" w:cs="Times New Roman" w:ascii="Times New Roman" w:hAnsi="Times New Roman"/>
          <w:b/>
          <w:color w:val="000000"/>
        </w:rPr>
        <w:t>Każde opakowanie odczynnika musi być czytelnie oznakowane nazwą, nazwą klonu (dot. poz. 1-6), terminem ważności oraz numerem serii. Do opakowania odczynnika musi być dołączona instrukcja obsługi w języku polskim.</w:t>
      </w:r>
    </w:p>
    <w:p>
      <w:pPr>
        <w:pStyle w:val="Normal"/>
        <w:numPr>
          <w:ilvl w:val="0"/>
          <w:numId w:val="1"/>
        </w:numPr>
        <w:tabs>
          <w:tab w:val="clear" w:pos="708"/>
          <w:tab w:val="left" w:pos="0" w:leader="none"/>
        </w:tabs>
        <w:spacing w:before="0" w:after="200"/>
        <w:ind w:left="720" w:hanging="360"/>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b/>
          <w:color w:val="000000"/>
        </w:rPr>
        <w:t>Zamawiający wymaga dostarczenia (po podpisaniu umowy – projekt umowy)  kart charakterystyki oferowanych odczynników.</w:t>
      </w:r>
    </w:p>
    <w:p>
      <w:pPr>
        <w:pStyle w:val="Normal"/>
        <w:spacing w:before="0" w:after="200"/>
        <w:ind w:left="720" w:hanging="0"/>
        <w:rPr>
          <w:rFonts w:ascii="Times New Roman" w:hAnsi="Times New Roman" w:eastAsia="Times New Roman" w:cs="Times New Roman"/>
          <w:b/>
          <w:b/>
          <w:sz w:val="22"/>
        </w:rPr>
      </w:pPr>
      <w:r>
        <w:rPr>
          <w:rFonts w:eastAsia="Times New Roman" w:cs="Times New Roman" w:ascii="Times New Roman" w:hAnsi="Times New Roman"/>
          <w:b/>
          <w:sz w:val="22"/>
        </w:rPr>
        <w:t>Pakiet stanowi niepodzielną całość i nie podlega podziałowi.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 xml:space="preserve">Pakiet nr 2 – Krwinki wzorcowe oraz materiały do kontroli </w:t>
      </w:r>
      <w:r>
        <w:rPr>
          <w:rFonts w:eastAsia="Times New Roman" w:cs="Times New Roman" w:ascii="Times New Roman" w:hAnsi="Times New Roman"/>
          <w:b/>
          <w:color w:val="000000"/>
          <w:sz w:val="22"/>
        </w:rPr>
        <w:t xml:space="preserve">badań immunohematologicznych </w:t>
      </w:r>
    </w:p>
    <w:p>
      <w:pPr>
        <w:pStyle w:val="Normal"/>
        <w:spacing w:before="0" w:after="200"/>
        <w:rPr>
          <w:rFonts w:ascii="Calibri" w:hAnsi="Calibri" w:eastAsia="Calibri" w:cs="Calibri"/>
          <w:color w:val="000000"/>
          <w:sz w:val="22"/>
        </w:rPr>
      </w:pPr>
      <w:r>
        <w:rPr>
          <w:rFonts w:eastAsia="Calibri" w:cs="Calibri" w:ascii="Calibri" w:hAnsi="Calibri"/>
          <w:color w:val="000000"/>
          <w:sz w:val="22"/>
        </w:rPr>
      </w:r>
    </w:p>
    <w:tbl>
      <w:tblPr>
        <w:tblW w:w="8971" w:type="dxa"/>
        <w:jc w:val="left"/>
        <w:tblInd w:w="92" w:type="dxa"/>
        <w:tblLayout w:type="fixed"/>
        <w:tblCellMar>
          <w:top w:w="0" w:type="dxa"/>
          <w:left w:w="108" w:type="dxa"/>
          <w:bottom w:w="0" w:type="dxa"/>
          <w:right w:w="108" w:type="dxa"/>
        </w:tblCellMar>
        <w:tblLook w:firstRow="0" w:noVBand="0" w:lastRow="0" w:firstColumn="0" w:lastColumn="0" w:noHBand="0" w:val="0000"/>
      </w:tblPr>
      <w:tblGrid>
        <w:gridCol w:w="462"/>
        <w:gridCol w:w="1657"/>
        <w:gridCol w:w="746"/>
        <w:gridCol w:w="1005"/>
        <w:gridCol w:w="1034"/>
        <w:gridCol w:w="648"/>
        <w:gridCol w:w="1082"/>
        <w:gridCol w:w="790"/>
        <w:gridCol w:w="535"/>
        <w:gridCol w:w="1011"/>
      </w:tblGrid>
      <w:tr>
        <w:trPr/>
        <w:tc>
          <w:tcPr>
            <w:tcW w:w="46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657"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746"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1005"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 / Nazwa /Nr katalogowy</w:t>
            </w:r>
          </w:p>
        </w:tc>
        <w:tc>
          <w:tcPr>
            <w:tcW w:w="1034"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648"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8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90"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p>
          <w:p>
            <w:pPr>
              <w:pStyle w:val="Normal"/>
              <w:widowControl w:val="false"/>
              <w:spacing w:lineRule="auto" w:line="240" w:before="0" w:after="0"/>
              <w:rPr>
                <w:rFonts w:ascii="Times New Roman" w:hAnsi="Times New Roman" w:eastAsia="Times New Roman" w:cs="Times New Roman"/>
                <w:sz w:val="16"/>
              </w:rPr>
            </w:pPr>
            <w:r>
              <w:rPr>
                <w:rFonts w:eastAsia="Times New Roman" w:cs="Times New Roman" w:ascii="Times New Roman" w:hAnsi="Times New Roman"/>
                <w:sz w:val="16"/>
              </w:rPr>
            </w:r>
          </w:p>
          <w:p>
            <w:pPr>
              <w:pStyle w:val="Normal"/>
              <w:widowControl w:val="false"/>
              <w:spacing w:lineRule="auto" w:line="240" w:before="0" w:after="0"/>
              <w:rPr/>
            </w:pPr>
            <w:r>
              <w:rPr/>
            </w:r>
          </w:p>
        </w:tc>
        <w:tc>
          <w:tcPr>
            <w:tcW w:w="535"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 VAT</w:t>
            </w:r>
          </w:p>
        </w:tc>
        <w:tc>
          <w:tcPr>
            <w:tcW w:w="1011"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ind w:right="210" w:hanging="0"/>
              <w:rPr/>
            </w:pPr>
            <w:r>
              <w:rPr>
                <w:rFonts w:eastAsia="Times New Roman" w:cs="Times New Roman" w:ascii="Times New Roman" w:hAnsi="Times New Roman"/>
                <w:b/>
                <w:sz w:val="16"/>
              </w:rPr>
              <w:t>Wartość brutto</w:t>
            </w:r>
          </w:p>
        </w:tc>
      </w:tr>
      <w:tr>
        <w:trPr/>
        <w:tc>
          <w:tcPr>
            <w:tcW w:w="46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1</w:t>
            </w:r>
          </w:p>
        </w:tc>
        <w:tc>
          <w:tcPr>
            <w:tcW w:w="1657"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2</w:t>
            </w:r>
          </w:p>
        </w:tc>
        <w:tc>
          <w:tcPr>
            <w:tcW w:w="746"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3</w:t>
            </w:r>
          </w:p>
        </w:tc>
        <w:tc>
          <w:tcPr>
            <w:tcW w:w="1005"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4</w:t>
            </w:r>
          </w:p>
        </w:tc>
        <w:tc>
          <w:tcPr>
            <w:tcW w:w="1034"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5</w:t>
            </w:r>
          </w:p>
        </w:tc>
        <w:tc>
          <w:tcPr>
            <w:tcW w:w="648"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6</w:t>
            </w:r>
          </w:p>
        </w:tc>
        <w:tc>
          <w:tcPr>
            <w:tcW w:w="108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7</w:t>
            </w:r>
          </w:p>
        </w:tc>
        <w:tc>
          <w:tcPr>
            <w:tcW w:w="790"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8</w:t>
            </w:r>
          </w:p>
        </w:tc>
        <w:tc>
          <w:tcPr>
            <w:tcW w:w="535"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9</w:t>
            </w:r>
          </w:p>
        </w:tc>
        <w:tc>
          <w:tcPr>
            <w:tcW w:w="1011"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10</w:t>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w:t>
            </w:r>
          </w:p>
        </w:tc>
        <w:tc>
          <w:tcPr>
            <w:tcW w:w="1657"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sz w:val="20"/>
              </w:rPr>
              <w:t>Standard  anty – D o aktywności &lt;= 0,05 IU/ml IgG anty-D (do metody kolumnowej, PTA) amp. 2 ml</w:t>
            </w:r>
          </w:p>
        </w:tc>
        <w:tc>
          <w:tcPr>
            <w:tcW w:w="746"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36 amp.</w:t>
            </w:r>
          </w:p>
        </w:tc>
        <w:tc>
          <w:tcPr>
            <w:tcW w:w="100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22 amp.</w:t>
            </w:r>
          </w:p>
        </w:tc>
        <w:tc>
          <w:tcPr>
            <w:tcW w:w="6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8 amp.</w:t>
            </w:r>
          </w:p>
        </w:tc>
        <w:tc>
          <w:tcPr>
            <w:tcW w:w="10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w:t>
            </w:r>
          </w:p>
        </w:tc>
        <w:tc>
          <w:tcPr>
            <w:tcW w:w="1657"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Standaryzowane krwinki wzorcowe opłaszczone do kontroli BTA  (amp. do kontroli ujemnej i amp. do kontroli dodatniej)  / 1 zestaw 2x2ml</w:t>
            </w:r>
          </w:p>
        </w:tc>
        <w:tc>
          <w:tcPr>
            <w:tcW w:w="746"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zest.</w:t>
            </w:r>
          </w:p>
        </w:tc>
        <w:tc>
          <w:tcPr>
            <w:tcW w:w="100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zest.</w:t>
            </w:r>
          </w:p>
        </w:tc>
        <w:tc>
          <w:tcPr>
            <w:tcW w:w="6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zest.</w:t>
            </w:r>
          </w:p>
        </w:tc>
        <w:tc>
          <w:tcPr>
            <w:tcW w:w="10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3</w:t>
            </w:r>
          </w:p>
        </w:tc>
        <w:tc>
          <w:tcPr>
            <w:tcW w:w="1657"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Standaryzowane krwinki wzorcowe zawieszone w PBS do układu AB0 (10%, gotowe do użycia)  / 1 zestaw - 3 x 4ml</w:t>
            </w:r>
          </w:p>
        </w:tc>
        <w:tc>
          <w:tcPr>
            <w:tcW w:w="746"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48 zest.</w:t>
            </w:r>
          </w:p>
        </w:tc>
        <w:tc>
          <w:tcPr>
            <w:tcW w:w="100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29 zest.</w:t>
            </w:r>
          </w:p>
        </w:tc>
        <w:tc>
          <w:tcPr>
            <w:tcW w:w="6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10 zest.</w:t>
            </w:r>
          </w:p>
        </w:tc>
        <w:tc>
          <w:tcPr>
            <w:tcW w:w="10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w:t>
            </w:r>
          </w:p>
        </w:tc>
        <w:tc>
          <w:tcPr>
            <w:tcW w:w="1657"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Standaryzowane krwinki wzorcowe zawieszone w płynie o niskiej sile jonowej (LISS) do wykrywania alloprzeciwciał  (gotowe do użycia)</w:t>
            </w:r>
            <w:r>
              <w:rPr>
                <w:rFonts w:eastAsia="Times New Roman" w:cs="Times New Roman" w:ascii="Times New Roman" w:hAnsi="Times New Roman"/>
                <w:color w:val="000000"/>
                <w:sz w:val="16"/>
              </w:rPr>
              <w:t xml:space="preserve"> </w:t>
            </w:r>
            <w:r>
              <w:rPr>
                <w:rFonts w:eastAsia="Times New Roman" w:cs="Times New Roman" w:ascii="Times New Roman" w:hAnsi="Times New Roman"/>
                <w:color w:val="000000"/>
                <w:sz w:val="20"/>
              </w:rPr>
              <w:t xml:space="preserve"> / 1 zestaw  3 x 4 ml</w:t>
            </w:r>
          </w:p>
        </w:tc>
        <w:tc>
          <w:tcPr>
            <w:tcW w:w="746"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0 zest.</w:t>
            </w:r>
          </w:p>
        </w:tc>
        <w:tc>
          <w:tcPr>
            <w:tcW w:w="100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0 zest.</w:t>
            </w:r>
          </w:p>
        </w:tc>
        <w:tc>
          <w:tcPr>
            <w:tcW w:w="6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 zest.</w:t>
            </w:r>
          </w:p>
        </w:tc>
        <w:tc>
          <w:tcPr>
            <w:tcW w:w="10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w:t>
            </w:r>
          </w:p>
        </w:tc>
        <w:tc>
          <w:tcPr>
            <w:tcW w:w="1657"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Zestaw próbek kontrolnych do codziennej kontroli odczynników diagnostycznych i krwinek wzorcowych układu ABO i RhD (A</w:t>
            </w:r>
            <w:r>
              <w:rPr>
                <w:rFonts w:eastAsia="Times New Roman" w:cs="Times New Roman" w:ascii="Times New Roman" w:hAnsi="Times New Roman"/>
                <w:sz w:val="20"/>
                <w:vertAlign w:val="subscript"/>
              </w:rPr>
              <w:t xml:space="preserve">1 </w:t>
            </w:r>
            <w:r>
              <w:rPr>
                <w:rFonts w:eastAsia="Times New Roman" w:cs="Times New Roman" w:ascii="Times New Roman" w:hAnsi="Times New Roman"/>
                <w:sz w:val="20"/>
              </w:rPr>
              <w:t>RhD+dodatni i B RhD– ujemny lub A</w:t>
            </w:r>
            <w:r>
              <w:rPr>
                <w:rFonts w:eastAsia="Times New Roman" w:cs="Times New Roman" w:ascii="Times New Roman" w:hAnsi="Times New Roman"/>
                <w:sz w:val="20"/>
                <w:vertAlign w:val="subscript"/>
              </w:rPr>
              <w:t xml:space="preserve">1 </w:t>
            </w:r>
            <w:r>
              <w:rPr>
                <w:rFonts w:eastAsia="Times New Roman" w:cs="Times New Roman" w:ascii="Times New Roman" w:hAnsi="Times New Roman"/>
                <w:sz w:val="20"/>
              </w:rPr>
              <w:t>RhD-ujemny i B RhD+dodatni) / 1 zestaw:  2  x 5 ml</w:t>
            </w:r>
          </w:p>
        </w:tc>
        <w:tc>
          <w:tcPr>
            <w:tcW w:w="746"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zest.</w:t>
            </w:r>
          </w:p>
        </w:tc>
        <w:tc>
          <w:tcPr>
            <w:tcW w:w="100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 zest.</w:t>
            </w:r>
          </w:p>
        </w:tc>
        <w:tc>
          <w:tcPr>
            <w:tcW w:w="6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 zest.</w:t>
            </w:r>
          </w:p>
        </w:tc>
        <w:tc>
          <w:tcPr>
            <w:tcW w:w="10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1"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6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r>
          </w:p>
          <w:p>
            <w:pPr>
              <w:pStyle w:val="Normal"/>
              <w:widowControl w:val="false"/>
              <w:spacing w:lineRule="auto" w:line="240" w:before="0" w:after="0"/>
              <w:rPr/>
            </w:pPr>
            <w:r>
              <w:rPr/>
            </w:r>
          </w:p>
        </w:tc>
        <w:tc>
          <w:tcPr>
            <w:tcW w:w="4442" w:type="dxa"/>
            <w:gridSpan w:val="4"/>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r>
          </w:p>
          <w:p>
            <w:pPr>
              <w:pStyle w:val="Normal"/>
              <w:widowControl w:val="false"/>
              <w:spacing w:lineRule="auto" w:line="240" w:before="0" w:after="0"/>
              <w:rPr/>
            </w:pPr>
            <w:r>
              <w:rPr>
                <w:rFonts w:eastAsia="Times New Roman" w:cs="Times New Roman" w:ascii="Times New Roman" w:hAnsi="Times New Roman"/>
                <w:b/>
                <w:sz w:val="20"/>
              </w:rPr>
              <w:t>Suma</w:t>
            </w:r>
          </w:p>
        </w:tc>
        <w:tc>
          <w:tcPr>
            <w:tcW w:w="648"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82" w:type="dxa"/>
            <w:tcBorders>
              <w:top w:val="single" w:sz="4" w:space="0" w:color="000001"/>
              <w:left w:val="single" w:sz="4" w:space="0" w:color="000001"/>
              <w:bottom w:val="single" w:sz="4" w:space="0" w:color="000001"/>
              <w:right w:val="single" w:sz="6"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0" w:type="dxa"/>
            <w:tcBorders>
              <w:top w:val="single" w:sz="4" w:space="0" w:color="000001"/>
              <w:left w:val="single" w:sz="4" w:space="0" w:color="000001"/>
              <w:bottom w:val="single" w:sz="4" w:space="0" w:color="000001"/>
              <w:right w:val="single" w:sz="6"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5" w:type="dxa"/>
            <w:tcBorders>
              <w:top w:val="single" w:sz="4" w:space="0" w:color="000001"/>
              <w:left w:val="single" w:sz="4" w:space="0" w:color="000001"/>
              <w:bottom w:val="single" w:sz="4" w:space="0" w:color="000001"/>
              <w:right w:val="single" w:sz="6"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1" w:type="dxa"/>
            <w:tcBorders>
              <w:top w:val="single" w:sz="4" w:space="0" w:color="000001"/>
              <w:left w:val="single" w:sz="4" w:space="0" w:color="000001"/>
              <w:bottom w:val="single" w:sz="4" w:space="0" w:color="000001"/>
              <w:right w:val="single" w:sz="4" w:space="0" w:color="000001"/>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numPr>
          <w:ilvl w:val="0"/>
          <w:numId w:val="2"/>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Wyroby muszą bezwzględnie spełniać wymagania ustawy o wyrobach medycznych z dn. 7.04.2022r (t.j. Dz.U. z 2024 r., poz. 1620 ze zm.)</w:t>
      </w:r>
    </w:p>
    <w:p>
      <w:pPr>
        <w:pStyle w:val="Normal"/>
        <w:numPr>
          <w:ilvl w:val="0"/>
          <w:numId w:val="2"/>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Termin ważności krwinek wzorcowych nie może być krótszy niż 5 tyg. od daty dostawy.</w:t>
      </w:r>
    </w:p>
    <w:p>
      <w:pPr>
        <w:pStyle w:val="Normal"/>
        <w:numPr>
          <w:ilvl w:val="0"/>
          <w:numId w:val="2"/>
        </w:numPr>
        <w:tabs>
          <w:tab w:val="clear" w:pos="708"/>
          <w:tab w:val="left" w:pos="0" w:leader="none"/>
        </w:tabs>
        <w:spacing w:before="0" w:after="200"/>
        <w:ind w:left="720" w:hanging="360"/>
        <w:rPr>
          <w:rFonts w:ascii="Calibri" w:hAnsi="Calibri" w:eastAsia="Calibri" w:cs="Calibri"/>
          <w:sz w:val="22"/>
        </w:rPr>
      </w:pPr>
      <w:r>
        <w:rPr>
          <w:rFonts w:eastAsia="Times New Roman" w:cs="Times New Roman" w:ascii="Times New Roman" w:hAnsi="Times New Roman"/>
          <w:b/>
          <w:color w:val="000000"/>
          <w:sz w:val="22"/>
        </w:rPr>
        <w:t>W poz. 3: Zamawiający wymaga standaryzowanych krwinek wzorcowych 10 % zawieszonych w PBS bezpośrednio gotowych do użycia tzn. bez konieczności płukania, rozcieńczania; nie dopuszcza się innego konfekcjonowania odczynników ze względu na krótką datę ważności.</w:t>
      </w:r>
    </w:p>
    <w:p>
      <w:pPr>
        <w:pStyle w:val="Normal"/>
        <w:numPr>
          <w:ilvl w:val="0"/>
          <w:numId w:val="2"/>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Każde opakowanie odczynnika musi być czytelnie oznakowane nazwą, terminem ważności oraz numerem serii. Do opakowania odczynnika musi być dołączona instrukcja obsługi w języku polskim.</w:t>
      </w:r>
    </w:p>
    <w:p>
      <w:pPr>
        <w:pStyle w:val="Normal"/>
        <w:numPr>
          <w:ilvl w:val="0"/>
          <w:numId w:val="2"/>
        </w:numPr>
        <w:tabs>
          <w:tab w:val="clear" w:pos="708"/>
          <w:tab w:val="left" w:pos="0" w:leader="none"/>
        </w:tabs>
        <w:spacing w:before="0" w:after="200"/>
        <w:ind w:left="720" w:hanging="360"/>
        <w:rPr>
          <w:rFonts w:ascii="Calibri" w:hAnsi="Calibri" w:eastAsia="Calibri" w:cs="Calibri"/>
          <w:sz w:val="22"/>
        </w:rPr>
      </w:pPr>
      <w:r>
        <w:rPr>
          <w:rFonts w:eastAsia="Times New Roman" w:cs="Times New Roman" w:ascii="Times New Roman" w:hAnsi="Times New Roman"/>
          <w:b/>
          <w:sz w:val="22"/>
        </w:rPr>
        <w:t xml:space="preserve">Odczynniki powinny posiadać znak CE z nr jednostki notyfikowanej </w:t>
      </w:r>
      <w:r>
        <w:rPr>
          <w:rFonts w:eastAsia="Times New Roman" w:cs="Times New Roman" w:ascii="Times New Roman" w:hAnsi="Times New Roman"/>
          <w:b/>
          <w:color w:val="000000"/>
          <w:sz w:val="22"/>
        </w:rPr>
        <w:t>(dotyczy odczynników z Listy A  oraz z Listy B)</w:t>
      </w:r>
    </w:p>
    <w:p>
      <w:pPr>
        <w:pStyle w:val="Normal"/>
        <w:numPr>
          <w:ilvl w:val="0"/>
          <w:numId w:val="2"/>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Dostawa odczynników w temperaturze 2-8 st. C</w:t>
      </w:r>
    </w:p>
    <w:p>
      <w:pPr>
        <w:pStyle w:val="Normal"/>
        <w:numPr>
          <w:ilvl w:val="0"/>
          <w:numId w:val="2"/>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 xml:space="preserve">Dostawa wszystkich zaoferowanych produktów zgodnie z zadeklarowanym harmonogramem na dany rok; w ilościach zgodnych z zapotrzebowaniem Zamawiającego. </w:t>
      </w:r>
    </w:p>
    <w:p>
      <w:pPr>
        <w:pStyle w:val="Normal"/>
        <w:numPr>
          <w:ilvl w:val="0"/>
          <w:numId w:val="2"/>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color w:val="000000"/>
          <w:sz w:val="22"/>
        </w:rPr>
        <w:t>Zamawiający wymaga dostarczenia (po podpisaniu umowy – wzór umowy)  kart charakterystyki oferowanych odczynników.</w:t>
      </w:r>
    </w:p>
    <w:p>
      <w:pPr>
        <w:pStyle w:val="Normal"/>
        <w:spacing w:before="0" w:after="200"/>
        <w:ind w:left="720" w:hanging="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Pakiet stanowi niepodzielną całość i nie podlega podziałowi.</w:t>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t>Pakiet nr 3 – Odczynniki do serologii grup krwi metodą kolumnową wraz z dzierżawą sprzętu do oznaczeń mikrometodą kolumnową</w:t>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tbl>
      <w:tblPr>
        <w:tblW w:w="9022" w:type="dxa"/>
        <w:jc w:val="left"/>
        <w:tblInd w:w="46" w:type="dxa"/>
        <w:tblLayout w:type="fixed"/>
        <w:tblCellMar>
          <w:top w:w="0" w:type="dxa"/>
          <w:left w:w="108" w:type="dxa"/>
          <w:bottom w:w="0" w:type="dxa"/>
          <w:right w:w="108" w:type="dxa"/>
        </w:tblCellMar>
        <w:tblLook w:firstRow="0" w:noVBand="0" w:lastRow="0" w:firstColumn="0" w:lastColumn="0" w:noHBand="0" w:val="0000"/>
      </w:tblPr>
      <w:tblGrid>
        <w:gridCol w:w="442"/>
        <w:gridCol w:w="1882"/>
        <w:gridCol w:w="928"/>
        <w:gridCol w:w="924"/>
        <w:gridCol w:w="945"/>
        <w:gridCol w:w="800"/>
        <w:gridCol w:w="995"/>
        <w:gridCol w:w="730"/>
        <w:gridCol w:w="410"/>
        <w:gridCol w:w="729"/>
        <w:gridCol w:w="235"/>
      </w:tblGrid>
      <w:tr>
        <w:trPr/>
        <w:tc>
          <w:tcPr>
            <w:tcW w:w="44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88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928"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924"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 / Nazwa / Nr katalogowy</w:t>
            </w:r>
          </w:p>
        </w:tc>
        <w:tc>
          <w:tcPr>
            <w:tcW w:w="945"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800"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995"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30"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p>
        </w:tc>
        <w:tc>
          <w:tcPr>
            <w:tcW w:w="410"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 vat</w:t>
            </w:r>
          </w:p>
        </w:tc>
        <w:tc>
          <w:tcPr>
            <w:tcW w:w="729"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Wartość brutto</w:t>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1</w:t>
            </w:r>
          </w:p>
        </w:tc>
        <w:tc>
          <w:tcPr>
            <w:tcW w:w="1882"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2</w:t>
            </w:r>
          </w:p>
        </w:tc>
        <w:tc>
          <w:tcPr>
            <w:tcW w:w="928"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3</w:t>
            </w:r>
          </w:p>
        </w:tc>
        <w:tc>
          <w:tcPr>
            <w:tcW w:w="924"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4</w:t>
            </w:r>
          </w:p>
        </w:tc>
        <w:tc>
          <w:tcPr>
            <w:tcW w:w="945"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5</w:t>
            </w:r>
          </w:p>
        </w:tc>
        <w:tc>
          <w:tcPr>
            <w:tcW w:w="800"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6</w:t>
            </w:r>
          </w:p>
        </w:tc>
        <w:tc>
          <w:tcPr>
            <w:tcW w:w="995"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7</w:t>
            </w:r>
          </w:p>
        </w:tc>
        <w:tc>
          <w:tcPr>
            <w:tcW w:w="730"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8</w:t>
            </w:r>
          </w:p>
        </w:tc>
        <w:tc>
          <w:tcPr>
            <w:tcW w:w="410"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9</w:t>
            </w:r>
          </w:p>
        </w:tc>
        <w:tc>
          <w:tcPr>
            <w:tcW w:w="729"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sz w:val="20"/>
              </w:rPr>
              <w:t>10</w:t>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100" w:after="0"/>
              <w:rPr>
                <w:rFonts w:ascii="Times New Roman" w:hAnsi="Times New Roman" w:eastAsia="Times New Roman" w:cs="Times New Roman"/>
                <w:sz w:val="20"/>
              </w:rPr>
            </w:pPr>
            <w:r>
              <w:rPr>
                <w:rFonts w:eastAsia="Times New Roman" w:cs="Times New Roman" w:ascii="Times New Roman" w:hAnsi="Times New Roman"/>
                <w:sz w:val="20"/>
              </w:rPr>
              <w:t>Karty z żelowym podłożem separującym do screeningu przeciwciał w PTA</w:t>
            </w:r>
          </w:p>
          <w:p>
            <w:pPr>
              <w:pStyle w:val="Normal"/>
              <w:widowControl w:val="false"/>
              <w:spacing w:lineRule="auto" w:line="240" w:before="0" w:after="0"/>
              <w:rPr/>
            </w:pPr>
            <w:r>
              <w:rPr/>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1550 badań</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930 badań</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310 badan</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Karty z żelowym podłożem separującym do właściwej próby zgodności w PTA</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400 badań</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240 badań</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80 badań</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t>3.</w:t>
            </w:r>
          </w:p>
          <w:p>
            <w:pPr>
              <w:pStyle w:val="Normal"/>
              <w:widowControl w:val="false"/>
              <w:spacing w:lineRule="auto" w:line="240" w:before="0" w:after="0"/>
              <w:rPr/>
            </w:pPr>
            <w:r>
              <w:rPr/>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Badanie grupy krwi w zakresie A-B-D(VI-)-D(VI+) wykonywane na jednej karcie (podać nazwę klonów)</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90 badań</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54 badan</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18 badań</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t>Potwierdzenie grupy dawcy w zakresie: A-B-DVI+(wykrywa słabą ekspresję antygenu D)</w:t>
            </w:r>
          </w:p>
          <w:p>
            <w:pPr>
              <w:pStyle w:val="Normal"/>
              <w:widowControl w:val="false"/>
              <w:spacing w:lineRule="auto" w:line="240" w:before="0" w:after="0"/>
              <w:rPr/>
            </w:pPr>
            <w:r>
              <w:rPr>
                <w:rFonts w:eastAsia="Times New Roman" w:cs="Times New Roman" w:ascii="Times New Roman" w:hAnsi="Times New Roman"/>
                <w:sz w:val="20"/>
              </w:rPr>
              <w:t>(podać nazwę klonów)</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r>
          </w:p>
          <w:p>
            <w:pPr>
              <w:pStyle w:val="Normal"/>
              <w:widowControl w:val="false"/>
              <w:spacing w:lineRule="auto" w:line="240" w:before="0" w:after="0"/>
              <w:rPr/>
            </w:pPr>
            <w:r>
              <w:rPr>
                <w:rFonts w:eastAsia="Times New Roman" w:cs="Times New Roman" w:ascii="Times New Roman" w:hAnsi="Times New Roman"/>
                <w:sz w:val="20"/>
              </w:rPr>
              <w:t>180 badań</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r>
          </w:p>
          <w:p>
            <w:pPr>
              <w:pStyle w:val="Normal"/>
              <w:widowControl w:val="false"/>
              <w:spacing w:lineRule="auto" w:line="240" w:before="0" w:after="0"/>
              <w:rPr/>
            </w:pPr>
            <w:r>
              <w:rPr>
                <w:rFonts w:eastAsia="Times New Roman" w:cs="Times New Roman" w:ascii="Times New Roman" w:hAnsi="Times New Roman"/>
                <w:sz w:val="20"/>
              </w:rPr>
              <w:t>108 badan</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r>
          </w:p>
          <w:p>
            <w:pPr>
              <w:pStyle w:val="Normal"/>
              <w:widowControl w:val="false"/>
              <w:spacing w:lineRule="auto" w:line="240" w:before="0" w:after="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36 badań</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Odczynnik LISS do metody kolumnowej –  op. max 200ml</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400 ml</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240 ml</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80 ml.</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6.</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Końcówki do pipety / op x 1000szt</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6 op</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 op.</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2 op.</w:t>
            </w:r>
          </w:p>
          <w:p>
            <w:pPr>
              <w:pStyle w:val="Normal"/>
              <w:widowControl w:val="false"/>
              <w:spacing w:lineRule="auto" w:line="240" w:before="0" w:after="0"/>
              <w:rPr/>
            </w:pPr>
            <w:r>
              <w:rPr/>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7.</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Krwinki do screeningu przeciwciał w metodzie kolumnowej o stężeniu nie większym niż 0.8 % (gotowe do użycia)  / 1 zestaw: 3 x10 ml</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color w:val="000000"/>
                <w:sz w:val="20"/>
              </w:rPr>
            </w:pPr>
            <w:r>
              <w:rPr>
                <w:rFonts w:eastAsia="Times New Roman" w:cs="Times New Roman" w:ascii="Times New Roman" w:hAnsi="Times New Roman"/>
                <w:color w:val="000000"/>
                <w:sz w:val="20"/>
              </w:rPr>
              <w:t>24 zestawy</w:t>
            </w:r>
          </w:p>
          <w:p>
            <w:pPr>
              <w:pStyle w:val="Normal"/>
              <w:widowControl w:val="false"/>
              <w:spacing w:lineRule="auto" w:line="240" w:before="0" w:after="0"/>
              <w:rPr/>
            </w:pPr>
            <w:r>
              <w:rPr/>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12 zestawy</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4 zestawy</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8..</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t>Koszt miesięcznej dzierżawy sprzętu:</w:t>
            </w:r>
          </w:p>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t>1/ wirówka na max. 12 kart</w:t>
            </w:r>
          </w:p>
          <w:p>
            <w:pPr>
              <w:pStyle w:val="Normal"/>
              <w:widowControl w:val="false"/>
              <w:spacing w:lineRule="auto" w:line="240" w:before="0" w:after="0"/>
              <w:rPr>
                <w:rFonts w:ascii="Times New Roman" w:hAnsi="Times New Roman" w:eastAsia="Times New Roman" w:cs="Times New Roman"/>
                <w:sz w:val="20"/>
              </w:rPr>
            </w:pPr>
            <w:r>
              <w:rPr>
                <w:rFonts w:eastAsia="Times New Roman" w:cs="Times New Roman" w:ascii="Times New Roman" w:hAnsi="Times New Roman"/>
                <w:sz w:val="20"/>
              </w:rPr>
              <w:t>2/ Dedykowana pipeta manualna automatyczna</w:t>
            </w:r>
          </w:p>
          <w:p>
            <w:pPr>
              <w:pStyle w:val="Normal"/>
              <w:widowControl w:val="false"/>
              <w:spacing w:lineRule="auto" w:line="240" w:before="0" w:after="0"/>
              <w:rPr/>
            </w:pPr>
            <w:r>
              <w:rPr>
                <w:rFonts w:eastAsia="Times New Roman" w:cs="Times New Roman" w:ascii="Times New Roman" w:hAnsi="Times New Roman"/>
                <w:sz w:val="20"/>
              </w:rPr>
              <w:t>3/ Inkubator na min. 12 kart</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24 m-ce</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0" w:type="dxa"/>
            <w:tcBorders>
              <w:top w:val="single" w:sz="4" w:space="0" w:color="000001"/>
              <w:left w:val="single" w:sz="4" w:space="0" w:color="000001"/>
              <w:bottom w:val="single" w:sz="4" w:space="0" w:color="000001"/>
              <w:right w:val="single" w:sz="6"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29"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9.</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Płyn konserwujący do przechowywania krwinek czerwonych</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sz w:val="20"/>
              </w:rPr>
              <w:t>1000 ml</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500 ml</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200 ml</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64"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10.</w:t>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Zestaw do zewnątrzlaboratoryjnej kontroli jakości badań / 1 x na kwartał</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8 zestawów</w:t>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4 zestawy</w:t>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2 zestawy</w:t>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64"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4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882"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sz w:val="20"/>
              </w:rPr>
              <w:t>Suma</w:t>
            </w:r>
          </w:p>
        </w:tc>
        <w:tc>
          <w:tcPr>
            <w:tcW w:w="928"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24"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4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80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95"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0" w:type="dxa"/>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r>
          </w:p>
          <w:p>
            <w:pPr>
              <w:pStyle w:val="Normal"/>
              <w:widowControl w:val="false"/>
              <w:spacing w:lineRule="auto" w:line="240" w:before="0" w:after="0"/>
              <w:rPr>
                <w:rFonts w:ascii="Times New Roman" w:hAnsi="Times New Roman" w:eastAsia="Times New Roman" w:cs="Times New Roman"/>
                <w:b/>
                <w:b/>
                <w:sz w:val="20"/>
              </w:rPr>
            </w:pPr>
            <w:r>
              <w:rPr>
                <w:rFonts w:eastAsia="Times New Roman" w:cs="Times New Roman" w:ascii="Times New Roman" w:hAnsi="Times New Roman"/>
                <w:b/>
                <w:sz w:val="20"/>
              </w:rPr>
            </w:r>
          </w:p>
          <w:p>
            <w:pPr>
              <w:pStyle w:val="Normal"/>
              <w:widowControl w:val="false"/>
              <w:spacing w:lineRule="auto" w:line="240" w:before="0" w:after="0"/>
              <w:rPr/>
            </w:pPr>
            <w:r>
              <w:rPr/>
            </w:r>
          </w:p>
        </w:tc>
        <w:tc>
          <w:tcPr>
            <w:tcW w:w="410" w:type="dxa"/>
            <w:tcBorders>
              <w:top w:val="single" w:sz="4" w:space="0" w:color="000001"/>
              <w:left w:val="single" w:sz="4" w:space="0" w:color="000001"/>
              <w:bottom w:val="single" w:sz="4" w:space="0" w:color="000001"/>
              <w:right w:val="single" w:sz="4" w:space="0" w:color="000001"/>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64" w:type="dxa"/>
            <w:gridSpan w:val="2"/>
            <w:tcBorders>
              <w:top w:val="single" w:sz="4" w:space="0" w:color="000001"/>
              <w:left w:val="single" w:sz="4" w:space="0" w:color="000001"/>
              <w:bottom w:val="single" w:sz="4" w:space="0" w:color="000001"/>
              <w:right w:val="single" w:sz="6" w:space="0" w:color="000000"/>
            </w:tcBorders>
            <w:shd w:color="000000" w:fill="FFFFFF" w:val="clear"/>
          </w:tcPr>
          <w:p>
            <w:pPr>
              <w:pStyle w:val="Normal"/>
              <w:widowControl w:val="false"/>
              <w:tabs>
                <w:tab w:val="clear" w:pos="708"/>
                <w:tab w:val="left" w:pos="2325" w:leader="none"/>
              </w:tabs>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Zasada metody oparta na aglutynacji krwinek czerwonych z wykorzystaniem kart wypełnionych żelem i podłożem separującym, metoda mikrokolumnowa żelowa.</w:t>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Wirówka:</w:t>
      </w:r>
    </w:p>
    <w:p>
      <w:pPr>
        <w:pStyle w:val="Normal"/>
        <w:numPr>
          <w:ilvl w:val="0"/>
          <w:numId w:val="3"/>
        </w:numPr>
        <w:tabs>
          <w:tab w:val="clear" w:pos="708"/>
          <w:tab w:val="left" w:pos="0" w:leader="none"/>
        </w:tabs>
        <w:spacing w:before="0" w:after="200"/>
        <w:ind w:left="750" w:hanging="360"/>
        <w:rPr>
          <w:rFonts w:ascii="Times New Roman" w:hAnsi="Times New Roman" w:eastAsia="Times New Roman" w:cs="Times New Roman"/>
          <w:b/>
          <w:b/>
          <w:sz w:val="22"/>
        </w:rPr>
      </w:pPr>
      <w:r>
        <w:rPr>
          <w:rFonts w:eastAsia="Times New Roman" w:cs="Times New Roman" w:ascii="Times New Roman" w:hAnsi="Times New Roman"/>
          <w:b/>
          <w:sz w:val="22"/>
        </w:rPr>
        <w:t>urządzenie zwalidowane przez producenta kart (dedykowane)</w:t>
      </w:r>
    </w:p>
    <w:p>
      <w:pPr>
        <w:pStyle w:val="Normal"/>
        <w:numPr>
          <w:ilvl w:val="0"/>
          <w:numId w:val="3"/>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rotor na maksimum 12 kart o stałej prędkości i czasie wirowania, wyjmowany dla sprawnej dezynfekcji wnętrza wirówki</w:t>
      </w:r>
    </w:p>
    <w:p>
      <w:pPr>
        <w:pStyle w:val="Normal"/>
        <w:numPr>
          <w:ilvl w:val="0"/>
          <w:numId w:val="3"/>
        </w:numPr>
        <w:tabs>
          <w:tab w:val="clear" w:pos="708"/>
          <w:tab w:val="left" w:pos="0" w:leader="none"/>
        </w:tabs>
        <w:spacing w:before="0" w:after="200"/>
        <w:ind w:left="720" w:hanging="360"/>
        <w:rPr>
          <w:strike/>
          <w:color w:val="C9211E"/>
        </w:rPr>
      </w:pPr>
      <w:r>
        <w:rPr>
          <w:rFonts w:eastAsia="Times New Roman" w:cs="Times New Roman" w:ascii="Times New Roman" w:hAnsi="Times New Roman"/>
          <w:b/>
          <w:strike/>
          <w:color w:val="C9211E"/>
          <w:sz w:val="22"/>
        </w:rPr>
        <w:t>wbudowane awaryjne otwieranie wirówki w przypadku braku prądu, bez konieczności rozkręcania elementów pokrywy</w:t>
      </w:r>
    </w:p>
    <w:p>
      <w:pPr>
        <w:pStyle w:val="Normal"/>
        <w:numPr>
          <w:ilvl w:val="0"/>
          <w:numId w:val="3"/>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wirówka o stałym czasie i prędkości wirowania</w:t>
      </w:r>
    </w:p>
    <w:p>
      <w:pPr>
        <w:pStyle w:val="Normal"/>
        <w:numPr>
          <w:ilvl w:val="0"/>
          <w:numId w:val="3"/>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wirówka do mikrokart musi mieć aktualne świadectwo walidacji i certyfikat CE</w:t>
      </w:r>
    </w:p>
    <w:p>
      <w:pPr>
        <w:pStyle w:val="Normal"/>
        <w:numPr>
          <w:ilvl w:val="0"/>
          <w:numId w:val="3"/>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 xml:space="preserve">paszport techniczny </w:t>
      </w:r>
    </w:p>
    <w:p>
      <w:pPr>
        <w:pStyle w:val="Normal"/>
        <w:spacing w:before="0" w:after="200"/>
        <w:ind w:left="720" w:hanging="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Inkubator:</w:t>
      </w:r>
    </w:p>
    <w:p>
      <w:pPr>
        <w:pStyle w:val="Normal"/>
        <w:numPr>
          <w:ilvl w:val="0"/>
          <w:numId w:val="4"/>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automatycznie ustawiony czas inkubacji i temperatura</w:t>
      </w:r>
    </w:p>
    <w:p>
      <w:pPr>
        <w:pStyle w:val="Normal"/>
        <w:numPr>
          <w:ilvl w:val="0"/>
          <w:numId w:val="4"/>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Inkubator do mikrokart musi mieć aktualne świadectwo walidacji i certyfikat CE</w:t>
      </w:r>
    </w:p>
    <w:p>
      <w:pPr>
        <w:pStyle w:val="Normal"/>
        <w:numPr>
          <w:ilvl w:val="0"/>
          <w:numId w:val="4"/>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paszport techniczny</w:t>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Karty, krwinki i odczynniki:</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Sprzęt i odczynniki muszą pochodzić od jednego producenta</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Do oferty należy dołączyć Certyfikaty WE (dla odczynników z Listy A oraz z Listy B) i Deklarację Zgodności CE na pozostałe wyroby medyczne</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Odczynniki ważne minimum 9 miesięcy z wyłączeniem produktów krwinkowych (krwinki ważne minimum 4 tygodnie od daty dostawy)</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Odczynnik LISS ważny minimum 6 miesięcy od daty otwarcia opakowania</w:t>
      </w:r>
    </w:p>
    <w:p>
      <w:pPr>
        <w:pStyle w:val="Normal"/>
        <w:numPr>
          <w:ilvl w:val="0"/>
          <w:numId w:val="5"/>
        </w:numPr>
        <w:tabs>
          <w:tab w:val="clear" w:pos="708"/>
          <w:tab w:val="left" w:pos="0" w:leader="none"/>
        </w:tabs>
        <w:spacing w:before="0" w:after="200"/>
        <w:ind w:left="720" w:hanging="360"/>
        <w:rPr>
          <w:rFonts w:ascii="Calibri" w:hAnsi="Calibri" w:eastAsia="Calibri" w:cs="Calibri"/>
          <w:sz w:val="22"/>
        </w:rPr>
      </w:pPr>
      <w:r>
        <w:rPr>
          <w:rFonts w:eastAsia="Times New Roman" w:cs="Times New Roman" w:ascii="Times New Roman" w:hAnsi="Times New Roman"/>
          <w:b/>
          <w:color w:val="000000"/>
          <w:sz w:val="22"/>
        </w:rPr>
        <w:t xml:space="preserve">Krwinki wzorcowe 3 – panelowe do badania przeglądowego przeciwciał odpornościowych muszą zawierać wszystkie znaczące klinicznie antygeny - zgodnie z obowiązującymi przepisami Ministra Zdrowia. </w:t>
      </w:r>
      <w:r>
        <w:rPr>
          <w:rFonts w:eastAsia="Times New Roman" w:cs="Times New Roman" w:ascii="Times New Roman" w:hAnsi="Times New Roman"/>
          <w:b/>
          <w:sz w:val="22"/>
        </w:rPr>
        <w:t>Krwinki wzorcowe gotowe do użycia</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Możliwość dowolnego kreowania ilości asortymentu w dostawie do Zamawiającego, nie wcześniej niż na miesiąc przed dostawą</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Dostawa wszystkich zaoferowanych produktów zgodnie z zadeklarowanym harmonogramem na dany rok; w ilościach zgodnych z aktualnymi potrzebami Zamawiającego</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Wymagane jest, aby wszystkie karty były przechowywane w temperaturze pokojowej (18-25ºC)</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Dostawa krwinek wzorcowych transportem monitorowanym pod względem temperatury (2-8 ºC) - przykładowy wydruk jako załącznik do oferty</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Dla pozycji  3 i 4 proszę podać nazwy klonów</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Potwierdzenie grupy krwi dawcy powinno zawierać inne klony anty-D niż w badaniu grupy krwi pacjenta. Potwierdzenie grupy krwi dawcy musi wykrywać słabą ekspresję antygenu-D (DVI+).</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Karty wypełnione odczynnikami bezpośrednio przez producenta</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Karty wypełnione żelem oraz podłożem separującym</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Karty do badania screeningu przeciwciał odpornościowych wypełnione bezbarwną surowicą antyglobulinową  anty-IgG + C3d</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Karty z mikrokolumnami wypełnionymi przejrzystym materiałem separującym (żelem)</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Data ważności kart minimum 6 miesięcy</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rPr>
      </w:pPr>
      <w:r>
        <w:rPr>
          <w:rFonts w:eastAsia="Times New Roman" w:cs="Times New Roman" w:ascii="Times New Roman" w:hAnsi="Times New Roman"/>
          <w:b/>
        </w:rPr>
        <w:t>Krwinki wzorcowe zawieszone, gotowe do użycia, bez potrzeby rozcieńczania, płukania itp.</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Każde jednostkowe opakowanie opisane: nazwa, seria, termin ważności.</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Dostawa do siedziby Zamawiającego nie później niż 4 dni robocze po złożeniu zamówienia</w:t>
      </w:r>
    </w:p>
    <w:p>
      <w:pPr>
        <w:pStyle w:val="Normal"/>
        <w:numPr>
          <w:ilvl w:val="0"/>
          <w:numId w:val="5"/>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Minimum</w:t>
      </w:r>
      <w:r>
        <w:rPr>
          <w:rFonts w:eastAsia="Times New Roman" w:cs="Times New Roman" w:ascii="Times New Roman" w:hAnsi="Times New Roman"/>
          <w:b/>
        </w:rPr>
        <w:t xml:space="preserve"> 4 opinie o firmie i</w:t>
      </w:r>
      <w:r>
        <w:rPr>
          <w:rFonts w:eastAsia="Times New Roman" w:cs="Times New Roman" w:ascii="Times New Roman" w:hAnsi="Times New Roman"/>
          <w:b/>
          <w:sz w:val="22"/>
        </w:rPr>
        <w:t xml:space="preserve"> odczynnikach oraz należytym wykonywaniu dostaw. Dołączone do oferty.</w:t>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Pipeta automatyczna</w:t>
      </w:r>
    </w:p>
    <w:p>
      <w:pPr>
        <w:pStyle w:val="Normal"/>
        <w:numPr>
          <w:ilvl w:val="0"/>
          <w:numId w:val="6"/>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powtarzalne dozowanie</w:t>
      </w:r>
    </w:p>
    <w:p>
      <w:pPr>
        <w:pStyle w:val="Normal"/>
        <w:numPr>
          <w:ilvl w:val="0"/>
          <w:numId w:val="6"/>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 xml:space="preserve">z wyrzutnikiem </w:t>
      </w:r>
    </w:p>
    <w:p>
      <w:pPr>
        <w:pStyle w:val="Normal"/>
        <w:numPr>
          <w:ilvl w:val="0"/>
          <w:numId w:val="6"/>
        </w:numPr>
        <w:tabs>
          <w:tab w:val="clear" w:pos="708"/>
          <w:tab w:val="left" w:pos="0" w:leader="none"/>
        </w:tabs>
        <w:spacing w:before="0" w:after="200"/>
        <w:ind w:left="750" w:hanging="360"/>
        <w:rPr>
          <w:rFonts w:ascii="Times New Roman" w:hAnsi="Times New Roman" w:eastAsia="Times New Roman" w:cs="Times New Roman"/>
          <w:b/>
          <w:b/>
          <w:sz w:val="22"/>
        </w:rPr>
      </w:pPr>
      <w:r>
        <w:rPr>
          <w:rFonts w:eastAsia="Times New Roman" w:cs="Times New Roman" w:ascii="Times New Roman" w:hAnsi="Times New Roman"/>
          <w:b/>
          <w:sz w:val="22"/>
        </w:rPr>
        <w:t>Certyfikat CE</w:t>
      </w:r>
    </w:p>
    <w:p>
      <w:pPr>
        <w:pStyle w:val="Normal"/>
        <w:numPr>
          <w:ilvl w:val="0"/>
          <w:numId w:val="6"/>
        </w:numPr>
        <w:tabs>
          <w:tab w:val="clear" w:pos="708"/>
          <w:tab w:val="left" w:pos="0" w:leader="none"/>
        </w:tabs>
        <w:spacing w:before="0" w:after="200"/>
        <w:ind w:left="750" w:hanging="360"/>
        <w:rPr>
          <w:rFonts w:ascii="Times New Roman" w:hAnsi="Times New Roman" w:eastAsia="Times New Roman" w:cs="Times New Roman"/>
          <w:b/>
          <w:b/>
          <w:sz w:val="22"/>
        </w:rPr>
      </w:pPr>
      <w:r>
        <w:rPr>
          <w:rFonts w:eastAsia="Times New Roman" w:cs="Times New Roman" w:ascii="Times New Roman" w:hAnsi="Times New Roman"/>
          <w:b/>
          <w:sz w:val="22"/>
        </w:rPr>
        <w:t>Aktualne świadectwo kalibracji</w:t>
      </w:r>
    </w:p>
    <w:p>
      <w:pPr>
        <w:pStyle w:val="Normal"/>
        <w:numPr>
          <w:ilvl w:val="0"/>
          <w:numId w:val="6"/>
        </w:numPr>
        <w:tabs>
          <w:tab w:val="clear" w:pos="708"/>
          <w:tab w:val="left" w:pos="0" w:leader="none"/>
        </w:tabs>
        <w:spacing w:before="0" w:after="200"/>
        <w:ind w:left="750" w:hanging="360"/>
        <w:rPr>
          <w:rFonts w:ascii="Times New Roman" w:hAnsi="Times New Roman" w:eastAsia="Times New Roman" w:cs="Times New Roman"/>
          <w:b/>
          <w:b/>
          <w:sz w:val="22"/>
        </w:rPr>
      </w:pPr>
      <w:r>
        <w:rPr>
          <w:rFonts w:eastAsia="Times New Roman" w:cs="Times New Roman" w:ascii="Times New Roman" w:hAnsi="Times New Roman"/>
          <w:b/>
          <w:sz w:val="22"/>
        </w:rPr>
        <w:t>Statyw do pipety</w:t>
      </w:r>
    </w:p>
    <w:p>
      <w:pPr>
        <w:pStyle w:val="Normal"/>
        <w:numPr>
          <w:ilvl w:val="0"/>
          <w:numId w:val="6"/>
        </w:numPr>
        <w:tabs>
          <w:tab w:val="clear" w:pos="708"/>
          <w:tab w:val="left" w:pos="0" w:leader="none"/>
        </w:tabs>
        <w:spacing w:before="0" w:after="200"/>
        <w:ind w:left="750" w:hanging="360"/>
        <w:rPr>
          <w:rFonts w:ascii="Times New Roman" w:hAnsi="Times New Roman" w:eastAsia="Times New Roman" w:cs="Times New Roman"/>
          <w:b/>
          <w:b/>
          <w:sz w:val="22"/>
        </w:rPr>
      </w:pPr>
      <w:r>
        <w:rPr>
          <w:rFonts w:eastAsia="Times New Roman" w:cs="Times New Roman" w:ascii="Times New Roman" w:hAnsi="Times New Roman"/>
          <w:b/>
          <w:sz w:val="22"/>
        </w:rPr>
        <w:t>paszport techniczny</w:t>
      </w:r>
    </w:p>
    <w:p>
      <w:pPr>
        <w:pStyle w:val="Normal"/>
        <w:spacing w:before="0" w:after="200"/>
        <w:ind w:left="720" w:hanging="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Inne:</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Ulotki do odczynników w j. polskim - jako załącznik do oferty</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Serwis Wykonawcy czynny 7 dni w tygodniu</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Reakcja serwisu do 24 h od daty kontaktu (mail, fax, telefon)</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Na czas przeglądu lub czas naprawy urządzeń Wykonawca zapewni bezpłatnie sprzęt zastępczy.</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color w:val="000000"/>
          <w:sz w:val="22"/>
        </w:rPr>
        <w:t xml:space="preserve">W przypadku nieusunięcia awarii wirówki lub inkubatora w ciągu 48h Zamawiający ma prawo zlecić wykonanie badania określonego w postępowaniu do Podwykonawcy wskazanego przez siebie  lub Wykonawca dostarczy zastępczy asortyment o takich samych parametrach technicznych kompatybilny z zaoferowanymi kartami. </w:t>
      </w:r>
      <w:r>
        <w:rPr>
          <w:rFonts w:eastAsia="Times New Roman" w:cs="Times New Roman" w:ascii="Times New Roman" w:hAnsi="Times New Roman"/>
          <w:b/>
          <w:sz w:val="22"/>
        </w:rPr>
        <w:t>Wykonawca pokrywa koszt wykonania badania, według cennika Podwykonawcy, łącznie z kosztem transportu związanym z dostarczeniem materiału do badań do Podwykonawcy oraz odbiorem wyników w wersji papierowej</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Sprzęt zwalidowany przez producenta i dedykowany do oferowanego systemu mikrokart</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Wykonawca zapewni na swój koszt dostarczenie sprzętu, jego montaż, uruchomienie i przeszkolenie pracowników w siedzibie Zamawiającego; szkolenie potwierdzone certyfikatem.</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Pełna, bezpłatna walidacja całego sprzętu raz do roku</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color w:val="000000"/>
          <w:sz w:val="22"/>
        </w:rPr>
        <w:t>Zamawiający wymaga dostarczenia (po podpisaniu umowy)  kart charakterystyki oferowanych odczynników.</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Zamawiający wymaga dostarczenia (po podpisaniu umowy) instrukcji obsługi urządzeń;  instrukcje w j. Polskim.</w:t>
      </w:r>
    </w:p>
    <w:p>
      <w:pPr>
        <w:pStyle w:val="Normal"/>
        <w:numPr>
          <w:ilvl w:val="0"/>
          <w:numId w:val="7"/>
        </w:numPr>
        <w:tabs>
          <w:tab w:val="clear" w:pos="708"/>
          <w:tab w:val="left" w:pos="0" w:leader="none"/>
        </w:tabs>
        <w:spacing w:before="0" w:after="200"/>
        <w:ind w:left="720" w:hanging="36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 xml:space="preserve"> </w:t>
      </w:r>
      <w:r>
        <w:rPr>
          <w:rFonts w:eastAsia="Times New Roman" w:cs="Times New Roman" w:ascii="Times New Roman" w:hAnsi="Times New Roman"/>
          <w:b/>
          <w:color w:val="000000"/>
          <w:sz w:val="22"/>
        </w:rPr>
        <w:t>Zewnętrzna kontrola jakości potwierdzona certyfikatem z możliwością wpisywania wyników on-line</w:t>
      </w:r>
    </w:p>
    <w:p>
      <w:pPr>
        <w:pStyle w:val="Normal"/>
        <w:spacing w:before="0" w:after="200"/>
        <w:ind w:left="720" w:hanging="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rPr>
        <w:t>Pakiet nr 4 – Odczynniki do badań równowagi kwasowo-zasadowej i elektrolitów wraz z dzierżawą aparatu diagnostycznego wraz ze stosownym wyposażeniem i wpięciem go do systemu informatycznego będącego własnością zamawiającego</w:t>
      </w:r>
    </w:p>
    <w:p>
      <w:pPr>
        <w:pStyle w:val="Normal"/>
        <w:spacing w:before="0" w:after="200"/>
        <w:rPr>
          <w:rFonts w:ascii="Times New Roman" w:hAnsi="Times New Roman" w:eastAsia="Times New Roman" w:cs="Times New Roman"/>
          <w:b/>
          <w:b/>
          <w:color w:val="8496B0"/>
          <w:sz w:val="22"/>
        </w:rPr>
      </w:pPr>
      <w:r>
        <w:rPr>
          <w:rFonts w:eastAsia="Times New Roman" w:cs="Times New Roman" w:ascii="Times New Roman" w:hAnsi="Times New Roman"/>
          <w:b/>
          <w:color w:val="8496B0"/>
          <w:sz w:val="22"/>
        </w:rPr>
      </w:r>
    </w:p>
    <w:p>
      <w:pPr>
        <w:pStyle w:val="Normal"/>
        <w:spacing w:before="0" w:after="200"/>
        <w:rPr>
          <w:rFonts w:ascii="Times New Roman" w:hAnsi="Times New Roman" w:eastAsia="Times New Roman" w:cs="Times New Roman"/>
          <w:b/>
          <w:b/>
          <w:color w:val="1F487C"/>
          <w:sz w:val="22"/>
        </w:rPr>
      </w:pPr>
      <w:r>
        <w:rPr>
          <w:rFonts w:eastAsia="Times New Roman" w:cs="Times New Roman" w:ascii="Times New Roman" w:hAnsi="Times New Roman"/>
          <w:b/>
          <w:color w:val="1F487C"/>
          <w:sz w:val="22"/>
        </w:rPr>
      </w:r>
    </w:p>
    <w:tbl>
      <w:tblPr>
        <w:tblW w:w="895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36"/>
        <w:gridCol w:w="1609"/>
        <w:gridCol w:w="984"/>
        <w:gridCol w:w="876"/>
        <w:gridCol w:w="1017"/>
        <w:gridCol w:w="1013"/>
        <w:gridCol w:w="1024"/>
        <w:gridCol w:w="745"/>
        <w:gridCol w:w="504"/>
        <w:gridCol w:w="745"/>
      </w:tblGrid>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60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98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87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1017"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1013"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2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4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p>
        </w:tc>
        <w:tc>
          <w:tcPr>
            <w:tcW w:w="50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745"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r>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60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98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87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017"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101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02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74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50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745"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r>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6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Gazometria</w:t>
            </w:r>
          </w:p>
        </w:tc>
        <w:tc>
          <w:tcPr>
            <w:tcW w:w="98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color w:val="000000"/>
                <w:sz w:val="22"/>
              </w:rPr>
              <w:t>7000 oznaczeń</w:t>
            </w:r>
          </w:p>
        </w:tc>
        <w:tc>
          <w:tcPr>
            <w:tcW w:w="87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4200 oznaczeń</w:t>
            </w:r>
          </w:p>
        </w:tc>
        <w:tc>
          <w:tcPr>
            <w:tcW w:w="10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1400 oznaczeń</w:t>
            </w:r>
          </w:p>
        </w:tc>
        <w:tc>
          <w:tcPr>
            <w:tcW w:w="102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0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160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Adaptery do kapilar do gazometrii o poj. 100Ul, średnica zewnętrzna 1,6m zapobiegające przedostawaniu się skrzepów</w:t>
            </w:r>
          </w:p>
        </w:tc>
        <w:tc>
          <w:tcPr>
            <w:tcW w:w="98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color w:val="000000"/>
                <w:sz w:val="22"/>
              </w:rPr>
              <w:t>3 opak</w:t>
            </w:r>
          </w:p>
        </w:tc>
        <w:tc>
          <w:tcPr>
            <w:tcW w:w="87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7"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w:t>
            </w:r>
          </w:p>
        </w:tc>
        <w:tc>
          <w:tcPr>
            <w:tcW w:w="101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w:t>
            </w:r>
          </w:p>
        </w:tc>
        <w:tc>
          <w:tcPr>
            <w:tcW w:w="102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6"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0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16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Dzierżawa</w:t>
            </w:r>
          </w:p>
        </w:tc>
        <w:tc>
          <w:tcPr>
            <w:tcW w:w="98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 miesięcy</w:t>
            </w:r>
          </w:p>
        </w:tc>
        <w:tc>
          <w:tcPr>
            <w:tcW w:w="87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0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200"/>
        <w:rPr>
          <w:rFonts w:ascii="Calibri" w:hAnsi="Calibri" w:eastAsia="Calibri" w:cs="Calibri"/>
          <w:sz w:val="22"/>
        </w:rPr>
      </w:pPr>
      <w:r>
        <w:rPr>
          <w:rFonts w:eastAsia="Times New Roman" w:cs="Times New Roman" w:ascii="Times New Roman" w:hAnsi="Times New Roman"/>
          <w:color w:val="000000"/>
        </w:rPr>
        <w:t xml:space="preserve"> </w:t>
      </w:r>
    </w:p>
    <w:p>
      <w:pPr>
        <w:pStyle w:val="Normal"/>
        <w:spacing w:before="0" w:after="200"/>
        <w:jc w:val="center"/>
        <w:rPr>
          <w:rFonts w:ascii="Times New Roman" w:hAnsi="Times New Roman" w:eastAsia="Times New Roman" w:cs="Times New Roman"/>
          <w:b/>
          <w:b/>
          <w:color w:val="000000"/>
          <w:sz w:val="28"/>
          <w:u w:val="single"/>
        </w:rPr>
      </w:pPr>
      <w:r>
        <w:rPr>
          <w:rFonts w:eastAsia="Times New Roman" w:cs="Times New Roman" w:ascii="Times New Roman" w:hAnsi="Times New Roman"/>
          <w:b/>
          <w:color w:val="000000"/>
          <w:sz w:val="28"/>
          <w:u w:val="single"/>
        </w:rPr>
      </w:r>
    </w:p>
    <w:p>
      <w:pPr>
        <w:pStyle w:val="Normal"/>
        <w:spacing w:before="0" w:after="200"/>
        <w:jc w:val="center"/>
        <w:rPr>
          <w:rFonts w:ascii="Times New Roman" w:hAnsi="Times New Roman" w:eastAsia="Times New Roman" w:cs="Times New Roman"/>
          <w:b/>
          <w:b/>
          <w:color w:val="000000"/>
          <w:sz w:val="28"/>
          <w:u w:val="single"/>
        </w:rPr>
      </w:pPr>
      <w:r>
        <w:rPr>
          <w:rFonts w:eastAsia="Times New Roman" w:cs="Times New Roman" w:ascii="Times New Roman" w:hAnsi="Times New Roman"/>
          <w:b/>
          <w:color w:val="000000"/>
          <w:sz w:val="28"/>
          <w:u w:val="single"/>
        </w:rPr>
      </w:r>
    </w:p>
    <w:p>
      <w:pPr>
        <w:pStyle w:val="Normal"/>
        <w:spacing w:before="0" w:after="200"/>
        <w:jc w:val="center"/>
        <w:rPr>
          <w:rFonts w:ascii="Calibri" w:hAnsi="Calibri" w:eastAsia="Calibri" w:cs="Calibri"/>
          <w:sz w:val="22"/>
        </w:rPr>
      </w:pPr>
      <w:r>
        <w:rPr>
          <w:rFonts w:eastAsia="Times New Roman" w:cs="Times New Roman" w:ascii="Times New Roman" w:hAnsi="Times New Roman"/>
          <w:b/>
          <w:color w:val="000000"/>
          <w:sz w:val="28"/>
          <w:u w:val="single"/>
        </w:rPr>
        <w:t>Opis przedmiotu zamówienia - analizator rkz i elektrolitów</w:t>
      </w:r>
    </w:p>
    <w:tbl>
      <w:tblPr>
        <w:tblW w:w="895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1636"/>
        <w:gridCol w:w="4265"/>
        <w:gridCol w:w="3049"/>
      </w:tblGrid>
      <w:tr>
        <w:trPr/>
        <w:tc>
          <w:tcPr>
            <w:tcW w:w="16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jc w:val="center"/>
              <w:rPr/>
            </w:pPr>
            <w:r>
              <w:rPr>
                <w:rFonts w:eastAsia="Times New Roman" w:cs="Times New Roman" w:ascii="Times New Roman" w:hAnsi="Times New Roman"/>
                <w:b/>
                <w:color w:val="000000"/>
              </w:rPr>
              <w:t>Lp</w:t>
            </w:r>
          </w:p>
        </w:tc>
        <w:tc>
          <w:tcPr>
            <w:tcW w:w="426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jc w:val="center"/>
              <w:rPr/>
            </w:pPr>
            <w:r>
              <w:rPr>
                <w:rFonts w:eastAsia="Times New Roman" w:cs="Times New Roman" w:ascii="Times New Roman" w:hAnsi="Times New Roman"/>
                <w:b/>
                <w:color w:val="000000"/>
              </w:rPr>
              <w:t>Parametr wymagany</w:t>
            </w:r>
          </w:p>
        </w:tc>
        <w:tc>
          <w:tcPr>
            <w:tcW w:w="304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jc w:val="center"/>
              <w:rPr>
                <w:rFonts w:ascii="Calibri" w:hAnsi="Calibri" w:eastAsia="Calibri" w:cs="Calibri"/>
                <w:sz w:val="22"/>
              </w:rPr>
            </w:pPr>
            <w:r>
              <w:rPr>
                <w:rFonts w:eastAsia="Times New Roman" w:cs="Times New Roman" w:ascii="Times New Roman" w:hAnsi="Times New Roman"/>
                <w:b/>
                <w:color w:val="000000"/>
              </w:rPr>
              <w:t>Warunek graniczny</w:t>
            </w:r>
          </w:p>
          <w:p>
            <w:pPr>
              <w:pStyle w:val="Normal"/>
              <w:widowControl w:val="false"/>
              <w:spacing w:lineRule="auto" w:line="240" w:before="0" w:after="0"/>
              <w:jc w:val="center"/>
              <w:rPr/>
            </w:pPr>
            <w:r>
              <w:rPr>
                <w:rFonts w:eastAsia="Times New Roman" w:cs="Times New Roman" w:ascii="Times New Roman" w:hAnsi="Times New Roman"/>
                <w:b/>
                <w:color w:val="000000"/>
              </w:rPr>
              <w:t>Tak/Nie – opis parametrów</w:t>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w:cs="Times" w:ascii="Times" w:hAnsi="Times"/>
                <w:color w:val="000000"/>
              </w:rPr>
              <w:t>Analizator i jego części składowe nowe lub używany (po pełnym przeglądzie) nie starszy niż</w:t>
            </w:r>
            <w:r>
              <w:rPr>
                <w:rFonts w:eastAsia="Times" w:cs="Times" w:ascii="Times" w:hAnsi="Times"/>
                <w:color w:val="C9211E"/>
              </w:rPr>
              <w:t xml:space="preserve"> </w:t>
            </w:r>
            <w:r>
              <w:rPr>
                <w:rFonts w:eastAsia="Times" w:cs="Times" w:ascii="Times" w:hAnsi="Times"/>
                <w:color w:val="000000"/>
              </w:rPr>
              <w:t>2021</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2</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Parametry mierzone: pH, pCO</w:t>
            </w:r>
            <w:r>
              <w:rPr>
                <w:rFonts w:eastAsia="Times New Roman" w:cs="Times New Roman" w:ascii="Times New Roman" w:hAnsi="Times New Roman"/>
                <w:color w:val="000000"/>
                <w:vertAlign w:val="subscript"/>
              </w:rPr>
              <w:t>2</w:t>
            </w:r>
            <w:r>
              <w:rPr>
                <w:rFonts w:eastAsia="Times New Roman" w:cs="Times New Roman" w:ascii="Times New Roman" w:hAnsi="Times New Roman"/>
                <w:color w:val="000000"/>
              </w:rPr>
              <w:t>, pO</w:t>
            </w:r>
            <w:r>
              <w:rPr>
                <w:rFonts w:eastAsia="Times New Roman" w:cs="Times New Roman" w:ascii="Times New Roman" w:hAnsi="Times New Roman"/>
                <w:color w:val="000000"/>
                <w:vertAlign w:val="subscript"/>
              </w:rPr>
              <w:t>2</w:t>
            </w:r>
            <w:r>
              <w:rPr>
                <w:rFonts w:eastAsia="Times New Roman" w:cs="Times New Roman" w:ascii="Times New Roman" w:hAnsi="Times New Roman"/>
                <w:color w:val="000000"/>
              </w:rPr>
              <w:t>, K</w:t>
            </w:r>
            <w:r>
              <w:rPr>
                <w:rFonts w:eastAsia="Times New Roman" w:cs="Times New Roman" w:ascii="Times New Roman" w:hAnsi="Times New Roman"/>
                <w:color w:val="000000"/>
                <w:vertAlign w:val="superscript"/>
              </w:rPr>
              <w:t>+</w:t>
            </w:r>
            <w:r>
              <w:rPr>
                <w:rFonts w:eastAsia="Times New Roman" w:cs="Times New Roman" w:ascii="Times New Roman" w:hAnsi="Times New Roman"/>
                <w:color w:val="000000"/>
              </w:rPr>
              <w:t>, Na</w:t>
            </w:r>
            <w:r>
              <w:rPr>
                <w:rFonts w:eastAsia="Times New Roman" w:cs="Times New Roman" w:ascii="Times New Roman" w:hAnsi="Times New Roman"/>
                <w:color w:val="000000"/>
                <w:vertAlign w:val="superscript"/>
              </w:rPr>
              <w:t>+</w:t>
            </w:r>
            <w:r>
              <w:rPr>
                <w:rFonts w:eastAsia="Times New Roman" w:cs="Times New Roman" w:ascii="Times New Roman" w:hAnsi="Times New Roman"/>
                <w:color w:val="000000"/>
              </w:rPr>
              <w:t>, Cl</w:t>
            </w:r>
            <w:r>
              <w:rPr>
                <w:rFonts w:eastAsia="Times New Roman" w:cs="Times New Roman" w:ascii="Times New Roman" w:hAnsi="Times New Roman"/>
                <w:color w:val="000000"/>
                <w:vertAlign w:val="superscript"/>
              </w:rPr>
              <w:t xml:space="preserve">- </w:t>
            </w:r>
            <w:r>
              <w:rPr>
                <w:rFonts w:eastAsia="Times New Roman" w:cs="Times New Roman" w:ascii="Times New Roman" w:hAnsi="Times New Roman"/>
                <w:color w:val="000000"/>
              </w:rPr>
              <w:t xml:space="preserve"> (opcjonalnie Ca2+)</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3</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Parametry wyliczane: HCO</w:t>
            </w:r>
            <w:r>
              <w:rPr>
                <w:rFonts w:eastAsia="Times New Roman" w:cs="Times New Roman" w:ascii="Times New Roman" w:hAnsi="Times New Roman"/>
                <w:color w:val="000000"/>
                <w:vertAlign w:val="subscript"/>
              </w:rPr>
              <w:t>3</w:t>
            </w:r>
            <w:r>
              <w:rPr>
                <w:rFonts w:eastAsia="Times New Roman" w:cs="Times New Roman" w:ascii="Times New Roman" w:hAnsi="Times New Roman"/>
                <w:color w:val="000000"/>
                <w:vertAlign w:val="superscript"/>
              </w:rPr>
              <w:t>-</w:t>
            </w:r>
            <w:r>
              <w:rPr>
                <w:rFonts w:eastAsia="Times New Roman" w:cs="Times New Roman" w:ascii="Times New Roman" w:hAnsi="Times New Roman"/>
                <w:color w:val="000000"/>
              </w:rPr>
              <w:t xml:space="preserve"> act( aktualne stężenie wodorowęglanów), BE(B (nadmiar zawartości zasad we krwi), ctCO</w:t>
            </w:r>
            <w:r>
              <w:rPr>
                <w:rFonts w:eastAsia="Times New Roman" w:cs="Times New Roman" w:ascii="Times New Roman" w:hAnsi="Times New Roman"/>
                <w:color w:val="000000"/>
                <w:vertAlign w:val="subscript"/>
              </w:rPr>
              <w:t>2</w:t>
            </w:r>
            <w:r>
              <w:rPr>
                <w:rFonts w:eastAsia="Times New Roman" w:cs="Times New Roman" w:ascii="Times New Roman" w:hAnsi="Times New Roman"/>
                <w:color w:val="000000"/>
              </w:rPr>
              <w:t xml:space="preserve"> (całkowita zawartość dwutlenku węgla), O</w:t>
            </w:r>
            <w:r>
              <w:rPr>
                <w:rFonts w:eastAsia="Times New Roman" w:cs="Times New Roman" w:ascii="Times New Roman" w:hAnsi="Times New Roman"/>
                <w:color w:val="000000"/>
                <w:vertAlign w:val="subscript"/>
              </w:rPr>
              <w:t>2</w:t>
            </w:r>
            <w:r>
              <w:rPr>
                <w:rFonts w:eastAsia="Times New Roman" w:cs="Times New Roman" w:ascii="Times New Roman" w:hAnsi="Times New Roman"/>
                <w:color w:val="000000"/>
              </w:rPr>
              <w:t>Sat (wysycenie hemoglobiny tlenem), AnGap (luka anionowa)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4</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Objętość próbki dla całego panelu badań nie większa niż 95 ul</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5</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Opcja automatycznej mikropróbki (objętość max 50ul)</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6</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Możliwość oznaczania we krwi pełnej i płynach dializacyjnych.</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7</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Podawanie próbek bez adapterów, bezpośrednio ze strzykawek i kapilar jak również z kapilar  przy użyciu adapterów zapobiegających przedostawaniu się skrzepów</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8</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Detektor pęcherzyków powietrza.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9</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Widoczny, podświetlany pojedynczy tor pomiarowy próbki z jedna elektrodą referencyjną.</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10</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Możliwość manualnego przesuwu próbki w torze pomiarowym.</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11</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Możliwość wpisania szczegółowych danych demograficznych pacjenta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12</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Automatyczna kalibracja jedno i dwupunktowa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13</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Krótki czas kalibracji- 1 punktowa max. 2,5 minuty</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14</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Gazy kalibracyjne w butlach wbudowanych w aparat</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15</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Elektrody bezmembranowe, wymieniane oddzielnie, zależne od zużycia.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16</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Odczynniki barwione, pozwalające na łatwą obserwację ich poziomu.</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17</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Każdy odczynnik konfekcjonowany w oddzielne opakowanie umożliwiające wymianę w zależności od zużycia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18</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Oprogramowanie w języku polskim</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19</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Zewnętrzny czytnik kodów kreskowych i wbudowana drukarka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20</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Bezpłatna instalacja i szkolenie dotyczące obsługi analizatora , certyfikaty imienne potwierdzające odbycie szkolenia</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21</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Dostarczenie podczas instalacji pełnej instrukcji w języku polskim w wersji papierowej oraz kart charakterystyk odczynników w języku polskim w wersji papierowej i karty instrukcji metodycznej w języku polskim</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22</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before="0" w:after="200"/>
              <w:rPr>
                <w:rFonts w:ascii="Times New Roman" w:hAnsi="Times New Roman" w:eastAsia="Times New Roman" w:cs="Times New Roman"/>
                <w:color w:val="000000"/>
              </w:rPr>
            </w:pPr>
            <w:r>
              <w:rPr>
                <w:rFonts w:eastAsia="Times New Roman" w:cs="Times New Roman" w:ascii="Times New Roman" w:hAnsi="Times New Roman"/>
                <w:color w:val="000000"/>
              </w:rPr>
              <w:t>Zasilacz awaryjny UPS stanowiący wyposażenie analizatora umożliwiający podtrzymanie pracy w przypadku zaniku napięcia sieci i umożliwiający bezpieczne zamknięcie trwającego cyklu pracy oraz przywrócenie systemu do pracy po wznowieniu dostawy energii elektrycznej</w:t>
            </w:r>
          </w:p>
          <w:p>
            <w:pPr>
              <w:pStyle w:val="Normal"/>
              <w:widowControl w:val="false"/>
              <w:spacing w:lineRule="auto" w:line="240" w:before="0" w:after="0"/>
              <w:jc w:val="center"/>
              <w:rPr/>
            </w:pPr>
            <w:r>
              <w:rPr/>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23</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sz w:val="22"/>
              </w:rPr>
            </w:pPr>
            <w:r>
              <w:rPr>
                <w:rFonts w:eastAsia="Times New Roman" w:cs="Times New Roman" w:ascii="Times New Roman" w:hAnsi="Times New Roman"/>
                <w:sz w:val="22"/>
              </w:rPr>
              <w:t xml:space="preserve">Wraz z materiałem kontrolnym Wykonawca zapewni dostęp do niezależnego od producenta i dystrybutora odczynników programu do kontroli wewnątrz i zewnątrz laboratoryjnej </w:t>
            </w:r>
            <w:r>
              <w:rPr>
                <w:rFonts w:eastAsia="Times New Roman" w:cs="Times New Roman" w:ascii="Times New Roman" w:hAnsi="Times New Roman"/>
                <w:color w:val="000000"/>
                <w:sz w:val="22"/>
              </w:rPr>
              <w:t>Standlab.</w:t>
            </w:r>
          </w:p>
          <w:p>
            <w:pPr>
              <w:pStyle w:val="Normal"/>
              <w:widowControl w:val="false"/>
              <w:spacing w:lineRule="auto" w:line="240"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Kontrola na 3 poziomach, każdy poziom oznaczany 2x w tygodniu.</w:t>
            </w:r>
          </w:p>
          <w:p>
            <w:pPr>
              <w:pStyle w:val="Normal"/>
              <w:widowControl w:val="false"/>
              <w:spacing w:lineRule="auto" w:line="240" w:before="0" w:after="0"/>
              <w:jc w:val="center"/>
              <w:rPr>
                <w:sz w:val="22"/>
              </w:rPr>
            </w:pPr>
            <w:r>
              <w:rPr>
                <w:sz w:val="22"/>
              </w:rPr>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16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color w:val="000000"/>
              </w:rPr>
              <w:t>24</w:t>
            </w:r>
          </w:p>
        </w:tc>
        <w:tc>
          <w:tcPr>
            <w:tcW w:w="42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color w:val="C9211E"/>
                <w:sz w:val="22"/>
              </w:rPr>
              <w:t xml:space="preserve"> </w:t>
            </w:r>
            <w:r>
              <w:rPr>
                <w:rFonts w:eastAsia="Times New Roman" w:cs="Times New Roman" w:ascii="Times New Roman" w:hAnsi="Times New Roman"/>
                <w:color w:val="000000"/>
                <w:sz w:val="22"/>
              </w:rPr>
              <w:t>Wykonawca na swój koszt zapewni podłączenie analizatora do LIS Zamawiającego firmy Assecco</w:t>
            </w:r>
          </w:p>
        </w:tc>
        <w:tc>
          <w:tcPr>
            <w:tcW w:w="304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bl>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w:t>
      </w:r>
      <w:r>
        <w:rPr>
          <w:rFonts w:eastAsia="Times New Roman" w:cs="Times New Roman" w:ascii="Times New Roman" w:hAnsi="Times New Roman"/>
          <w:color w:val="000000"/>
          <w:sz w:val="22"/>
        </w:rPr>
        <w:t>lub zapewnienie bezpłatnie aparatu zastępczego, Wykonawca podaje w umowie numer telefonu do serwisu 24h, obsługi handlowej i merytorycznej.</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Wykonawca  zapewnia bezpłatne naprawy i przegląd min. 1x do roku (chyba, że producent analizatora zaleca częściej – wtedy zgodnie z zaleceniami producenta) wraz z częściami zamiennymi.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 xml:space="preserve">Ważność odczynników min. 6mies.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Pakiet nr 5 – Odczynniki do układu krzepnięcia  wraz z dzierżawą aparatu do koagulologii wraz ze stosownym wyposażeniem i wpięciem go do systemu informatycznego będącego własnością zamawiającego. </w:t>
      </w:r>
    </w:p>
    <w:p>
      <w:pPr>
        <w:pStyle w:val="Normal"/>
        <w:spacing w:lineRule="auto" w:line="240" w:before="0" w:after="0"/>
        <w:rPr>
          <w:rFonts w:ascii="Times New Roman" w:hAnsi="Times New Roman" w:eastAsia="Times New Roman" w:cs="Times New Roman"/>
          <w:sz w:val="22"/>
        </w:rPr>
      </w:pPr>
      <w:r>
        <w:rPr>
          <w:rFonts w:eastAsia="Times New Roman" w:cs="Times New Roman" w:ascii="Times New Roman" w:hAnsi="Times New Roman"/>
          <w:sz w:val="22"/>
        </w:rPr>
      </w:r>
    </w:p>
    <w:tbl>
      <w:tblPr>
        <w:tblW w:w="895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409"/>
        <w:gridCol w:w="263"/>
        <w:gridCol w:w="1356"/>
        <w:gridCol w:w="1132"/>
        <w:gridCol w:w="792"/>
        <w:gridCol w:w="1129"/>
        <w:gridCol w:w="1131"/>
        <w:gridCol w:w="916"/>
        <w:gridCol w:w="679"/>
        <w:gridCol w:w="464"/>
        <w:gridCol w:w="678"/>
      </w:tblGrid>
      <w:tr>
        <w:trPr/>
        <w:tc>
          <w:tcPr>
            <w:tcW w:w="40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619"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113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79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1129"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1131"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91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67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netto</w:t>
            </w:r>
          </w:p>
          <w:p>
            <w:pPr>
              <w:pStyle w:val="Normal"/>
              <w:widowControl w:val="false"/>
              <w:spacing w:lineRule="auto" w:line="240" w:before="0" w:after="0"/>
              <w:rPr>
                <w:strike/>
                <w:color w:val="C9211E"/>
              </w:rPr>
            </w:pPr>
            <w:r>
              <w:rPr>
                <w:rFonts w:eastAsia="Times New Roman" w:cs="Times New Roman" w:ascii="Times New Roman" w:hAnsi="Times New Roman"/>
                <w:b/>
                <w:strike/>
                <w:color w:val="C9211E"/>
                <w:sz w:val="16"/>
              </w:rPr>
              <w:t>(3x7)</w:t>
            </w:r>
          </w:p>
        </w:tc>
        <w:tc>
          <w:tcPr>
            <w:tcW w:w="46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678"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r>
      <w:tr>
        <w:trPr/>
        <w:tc>
          <w:tcPr>
            <w:tcW w:w="40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619"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113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79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129"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1131"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91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67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46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678"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r>
      <w:tr>
        <w:trPr/>
        <w:tc>
          <w:tcPr>
            <w:tcW w:w="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619"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Zestaw do czasu protrombinowego (PT + CaCl2)</w:t>
            </w:r>
          </w:p>
        </w:tc>
        <w:tc>
          <w:tcPr>
            <w:tcW w:w="11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3000 </w:t>
            </w:r>
            <w:r>
              <w:rPr>
                <w:rFonts w:eastAsia="Times New Roman" w:cs="Times New Roman" w:ascii="Times New Roman" w:hAnsi="Times New Roman"/>
                <w:b/>
                <w:sz w:val="22"/>
              </w:rPr>
              <w:t xml:space="preserve">ozn. </w:t>
            </w:r>
            <w:r>
              <w:rPr>
                <w:rFonts w:eastAsia="Times New Roman" w:cs="Times New Roman" w:ascii="Times New Roman" w:hAnsi="Times New Roman"/>
                <w:b/>
                <w:color w:val="C9211E"/>
                <w:sz w:val="22"/>
              </w:rPr>
              <w:t>(każde oznaczenie wykonywane w dublecie)</w:t>
            </w:r>
          </w:p>
        </w:tc>
        <w:tc>
          <w:tcPr>
            <w:tcW w:w="7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2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1800 </w:t>
            </w:r>
            <w:r>
              <w:rPr>
                <w:rFonts w:eastAsia="Times New Roman" w:cs="Times New Roman" w:ascii="Times New Roman" w:hAnsi="Times New Roman"/>
                <w:b/>
                <w:sz w:val="22"/>
              </w:rPr>
              <w:t>ozn.</w:t>
            </w:r>
          </w:p>
        </w:tc>
        <w:tc>
          <w:tcPr>
            <w:tcW w:w="11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600 </w:t>
            </w:r>
            <w:r>
              <w:rPr>
                <w:rFonts w:eastAsia="Times New Roman" w:cs="Times New Roman" w:ascii="Times New Roman" w:hAnsi="Times New Roman"/>
                <w:b/>
                <w:sz w:val="22"/>
              </w:rPr>
              <w:t>ozn.</w:t>
            </w:r>
          </w:p>
        </w:tc>
        <w:tc>
          <w:tcPr>
            <w:tcW w:w="91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4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67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before="0" w:after="200"/>
              <w:rPr>
                <w:rFonts w:ascii="Tahoma" w:hAnsi="Tahoma" w:eastAsia="Tahoma" w:cs="Tahoma"/>
                <w:color w:val="000000"/>
                <w:sz w:val="18"/>
              </w:rPr>
            </w:pPr>
            <w:r>
              <w:rPr>
                <w:rFonts w:eastAsia="Tahoma" w:cs="Tahoma" w:ascii="Tahoma" w:hAnsi="Tahoma"/>
                <w:color w:val="000000"/>
                <w:sz w:val="18"/>
              </w:rPr>
            </w:r>
          </w:p>
          <w:p>
            <w:pPr>
              <w:pStyle w:val="Normal"/>
              <w:widowControl w:val="false"/>
              <w:spacing w:lineRule="auto" w:line="240" w:before="0" w:after="0"/>
              <w:rPr/>
            </w:pPr>
            <w:r>
              <w:rPr/>
            </w:r>
          </w:p>
        </w:tc>
      </w:tr>
      <w:tr>
        <w:trPr/>
        <w:tc>
          <w:tcPr>
            <w:tcW w:w="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1619"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Zestaw do czasu kaolinowo-kefalinowego</w:t>
            </w:r>
          </w:p>
        </w:tc>
        <w:tc>
          <w:tcPr>
            <w:tcW w:w="11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2500 ozn. </w:t>
            </w:r>
            <w:r>
              <w:rPr>
                <w:rFonts w:eastAsia="Times New Roman" w:cs="Times New Roman" w:ascii="Times New Roman" w:hAnsi="Times New Roman"/>
                <w:b/>
                <w:color w:val="C9211E"/>
                <w:sz w:val="22"/>
              </w:rPr>
              <w:t>(każde oznaczenie wykonywane w dublecie)</w:t>
            </w:r>
          </w:p>
        </w:tc>
        <w:tc>
          <w:tcPr>
            <w:tcW w:w="7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2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1500 ozn.</w:t>
            </w:r>
          </w:p>
        </w:tc>
        <w:tc>
          <w:tcPr>
            <w:tcW w:w="11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500 ozn.</w:t>
            </w:r>
          </w:p>
        </w:tc>
        <w:tc>
          <w:tcPr>
            <w:tcW w:w="91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67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1619"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Kontrola plazma normalna</w:t>
            </w:r>
          </w:p>
        </w:tc>
        <w:tc>
          <w:tcPr>
            <w:tcW w:w="11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 opak (1 opakowanie =10 ampułek)</w:t>
            </w:r>
          </w:p>
        </w:tc>
        <w:tc>
          <w:tcPr>
            <w:tcW w:w="7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2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 (1 opakowanie =10 ampułek)</w:t>
            </w:r>
          </w:p>
        </w:tc>
        <w:tc>
          <w:tcPr>
            <w:tcW w:w="11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 (1 opakowanie =10 ampułek)</w:t>
            </w:r>
          </w:p>
        </w:tc>
        <w:tc>
          <w:tcPr>
            <w:tcW w:w="91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67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619"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Kontrola plazma patologiczna</w:t>
            </w:r>
          </w:p>
        </w:tc>
        <w:tc>
          <w:tcPr>
            <w:tcW w:w="11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 opak ( 1 opak = 10 ampułek)</w:t>
            </w:r>
          </w:p>
        </w:tc>
        <w:tc>
          <w:tcPr>
            <w:tcW w:w="7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2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 ( 1 opak = 10 ampułek)</w:t>
            </w:r>
          </w:p>
        </w:tc>
        <w:tc>
          <w:tcPr>
            <w:tcW w:w="11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 ( 1 opak = 10 ampułek)</w:t>
            </w:r>
          </w:p>
        </w:tc>
        <w:tc>
          <w:tcPr>
            <w:tcW w:w="91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67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sz w:val="22"/>
              </w:rPr>
            </w:r>
          </w:p>
        </w:tc>
      </w:tr>
      <w:tr>
        <w:trPr/>
        <w:tc>
          <w:tcPr>
            <w:tcW w:w="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1619"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Kalibrator (PT, APTT)</w:t>
            </w:r>
          </w:p>
        </w:tc>
        <w:tc>
          <w:tcPr>
            <w:tcW w:w="11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C9211E"/>
                <w:sz w:val="22"/>
              </w:rPr>
              <w:t>1</w:t>
            </w:r>
            <w:r>
              <w:rPr>
                <w:rFonts w:eastAsia="Times New Roman" w:cs="Times New Roman" w:ascii="Times New Roman" w:hAnsi="Times New Roman"/>
                <w:b/>
                <w:sz w:val="22"/>
              </w:rPr>
              <w:t xml:space="preserve"> opak (1 opakowanie = 10 ampułek)</w:t>
            </w:r>
          </w:p>
        </w:tc>
        <w:tc>
          <w:tcPr>
            <w:tcW w:w="7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2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opak (1 opakowanie = 10 ampułek)</w:t>
            </w:r>
          </w:p>
        </w:tc>
        <w:tc>
          <w:tcPr>
            <w:tcW w:w="11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 (1 opakowanie = 10 ampułek)</w:t>
            </w:r>
          </w:p>
        </w:tc>
        <w:tc>
          <w:tcPr>
            <w:tcW w:w="91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67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0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1619" w:type="dxa"/>
            <w:gridSpan w:val="2"/>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Rozcieńczalnik</w:t>
            </w:r>
          </w:p>
        </w:tc>
        <w:tc>
          <w:tcPr>
            <w:tcW w:w="113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szt.</w:t>
            </w:r>
          </w:p>
        </w:tc>
        <w:tc>
          <w:tcPr>
            <w:tcW w:w="79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2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szt.</w:t>
            </w:r>
          </w:p>
        </w:tc>
        <w:tc>
          <w:tcPr>
            <w:tcW w:w="1131"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szt</w:t>
            </w:r>
          </w:p>
        </w:tc>
        <w:tc>
          <w:tcPr>
            <w:tcW w:w="91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6"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6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8"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619"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Dzierżawa</w:t>
            </w:r>
          </w:p>
        </w:tc>
        <w:tc>
          <w:tcPr>
            <w:tcW w:w="11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 miesiące</w:t>
            </w:r>
          </w:p>
        </w:tc>
        <w:tc>
          <w:tcPr>
            <w:tcW w:w="7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29" w:type="dxa"/>
            <w:tcBorders>
              <w:top w:val="single" w:sz="4" w:space="0" w:color="000000"/>
              <w:left w:val="single" w:sz="4" w:space="0" w:color="000000"/>
              <w:bottom w:val="single" w:sz="4" w:space="0" w:color="000000"/>
              <w:right w:val="single" w:sz="4"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131" w:type="dxa"/>
            <w:tcBorders>
              <w:top w:val="single" w:sz="4" w:space="0" w:color="000000"/>
              <w:left w:val="single" w:sz="4" w:space="0" w:color="000000"/>
              <w:bottom w:val="single" w:sz="4" w:space="0" w:color="000000"/>
              <w:right w:val="single" w:sz="6"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1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67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456" w:type="dxa"/>
            <w:gridSpan w:val="6"/>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9"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before="0" w:after="200"/>
              <w:rPr>
                <w:rFonts w:ascii="Tahoma" w:hAnsi="Tahoma" w:eastAsia="Tahoma" w:cs="Tahoma"/>
                <w:color w:val="000000"/>
                <w:sz w:val="18"/>
              </w:rPr>
            </w:pPr>
            <w:r>
              <w:rPr>
                <w:rFonts w:eastAsia="Tahoma" w:cs="Tahoma" w:ascii="Tahoma" w:hAnsi="Tahoma"/>
                <w:color w:val="000000"/>
                <w:sz w:val="18"/>
              </w:rPr>
            </w:r>
          </w:p>
          <w:p>
            <w:pPr>
              <w:pStyle w:val="Normal"/>
              <w:widowControl w:val="false"/>
              <w:spacing w:lineRule="auto" w:line="240" w:before="0" w:after="0"/>
              <w:rPr/>
            </w:pPr>
            <w:r>
              <w:rPr/>
            </w:r>
          </w:p>
        </w:tc>
        <w:tc>
          <w:tcPr>
            <w:tcW w:w="464"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before="0" w:after="200"/>
              <w:rPr>
                <w:rFonts w:ascii="Tahoma" w:hAnsi="Tahoma" w:eastAsia="Tahoma" w:cs="Tahoma"/>
                <w:color w:val="000000"/>
                <w:sz w:val="18"/>
              </w:rPr>
            </w:pPr>
            <w:r>
              <w:rPr>
                <w:rFonts w:eastAsia="Tahoma" w:cs="Tahoma" w:ascii="Tahoma" w:hAnsi="Tahoma"/>
                <w:color w:val="000000"/>
                <w:sz w:val="18"/>
              </w:rPr>
            </w:r>
          </w:p>
          <w:p>
            <w:pPr>
              <w:pStyle w:val="Normal"/>
              <w:widowControl w:val="false"/>
              <w:spacing w:lineRule="auto" w:line="240" w:before="0" w:after="0"/>
              <w:rPr/>
            </w:pPr>
            <w:r>
              <w:rPr/>
            </w:r>
          </w:p>
        </w:tc>
      </w:tr>
    </w:tbl>
    <w:p>
      <w:pPr>
        <w:pStyle w:val="Normal"/>
        <w:spacing w:before="0" w:after="200"/>
        <w:rPr>
          <w:rFonts w:ascii="Times New Roman" w:hAnsi="Times New Roman" w:eastAsia="Times New Roman" w:cs="Times New Roman"/>
          <w:sz w:val="22"/>
          <w:u w:val="single"/>
        </w:rPr>
      </w:pPr>
      <w:r>
        <w:rPr>
          <w:rFonts w:eastAsia="Times New Roman" w:cs="Times New Roman" w:ascii="Times New Roman" w:hAnsi="Times New Roman"/>
          <w:sz w:val="22"/>
          <w:u w:val="single"/>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u w:val="single"/>
        </w:rPr>
        <w:t>Wymogi dodatkowe</w:t>
      </w:r>
      <w:r>
        <w:rPr>
          <w:rFonts w:eastAsia="Times New Roman" w:cs="Times New Roman" w:ascii="Times New Roman" w:hAnsi="Times New Roman"/>
          <w:sz w:val="22"/>
        </w:rPr>
        <w:t>:</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Wykonawca dostarczy UPS do urządzenia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Odczynniki przeznaczone do optycznej metody pomiaru – optycznie czyste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Możliwość oznaczenia równocześnie z pomiarem PT stężenia fibrynogenu bez dodatkowych odczynników i procedur</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Trwałość odczynnika do PT po rekonstytucji min. 30 dni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Trwałość APTT – 30 dni po otwarciu.</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Współczynnik czułości tromboplastyny do PT-ISI nie większy niż 1,1</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Materiały kontrolne na nie mniej niż dwóch poziomach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Kontrola PT wykonywana 5 razy w tygodniu na dwóch poziomach, APTT 2 razy w tygodniu na dwóch poziomach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Wykonawca na potwierdzenie jakości oferowanych wyrobów dostarcza certyfikat potwierdzający posiadanie systemu zarządzania jakością zgodnego z normą ISO 13485:2016</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t>Oznaczenia wykonywane w dubletach</w:t>
      </w:r>
    </w:p>
    <w:p>
      <w:pPr>
        <w:pStyle w:val="Normal"/>
        <w:spacing w:before="0" w:after="200"/>
        <w:rPr>
          <w:rFonts w:ascii="Times New Roman" w:hAnsi="Times New Roman" w:eastAsia="Times New Roman" w:cs="Times New Roman"/>
          <w:sz w:val="22"/>
          <w:u w:val="single"/>
        </w:rPr>
      </w:pPr>
      <w:r>
        <w:rPr>
          <w:rFonts w:eastAsia="Times New Roman" w:cs="Times New Roman" w:ascii="Times New Roman" w:hAnsi="Times New Roman"/>
          <w:sz w:val="22"/>
          <w:u w:val="single"/>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 xml:space="preserve">Opis analizatora </w:t>
      </w:r>
    </w:p>
    <w:tbl>
      <w:tblPr>
        <w:tblW w:w="895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51"/>
        <w:gridCol w:w="3298"/>
      </w:tblGrid>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b/>
                <w:color w:val="000000"/>
              </w:rPr>
              <w:t>Konfiguracja i parametry graniczne</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br/>
            </w:r>
            <w:r>
              <w:rPr>
                <w:rFonts w:eastAsia="Times New Roman" w:cs="Times New Roman" w:ascii="Times New Roman" w:hAnsi="Times New Roman"/>
                <w:b/>
                <w:color w:val="000000"/>
              </w:rPr>
              <w:t>Warunek graniczny</w:t>
            </w:r>
          </w:p>
          <w:p>
            <w:pPr>
              <w:pStyle w:val="Normal"/>
              <w:widowControl w:val="false"/>
              <w:spacing w:lineRule="auto" w:line="240" w:before="0" w:after="0"/>
              <w:jc w:val="center"/>
              <w:rPr/>
            </w:pPr>
            <w:r>
              <w:rPr>
                <w:rFonts w:eastAsia="Times New Roman" w:cs="Times New Roman" w:ascii="Times New Roman" w:hAnsi="Times New Roman"/>
                <w:b/>
                <w:color w:val="000000"/>
              </w:rPr>
              <w:t>Tak/Nie – opis parametrów</w:t>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Metoda pomiaru – optyczna (3 scieżki pomiarowe: wykrzepialna, chromogenna, immunologiczna)</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Times New Roman" w:cs="Times New Roman" w:ascii="Times New Roman" w:hAnsi="Times New Roman"/>
                <w:color w:val="000000"/>
              </w:rPr>
              <w:t>5 niezależnych kanałów pomiarowych,</w:t>
            </w:r>
          </w:p>
          <w:p>
            <w:pPr>
              <w:pStyle w:val="Normal"/>
              <w:widowControl w:val="false"/>
              <w:spacing w:lineRule="auto" w:line="240" w:before="0" w:after="0"/>
              <w:rPr/>
            </w:pPr>
            <w:r>
              <w:rPr>
                <w:rFonts w:eastAsia="Times New Roman" w:cs="Times New Roman" w:ascii="Times New Roman" w:hAnsi="Times New Roman"/>
                <w:color w:val="000000"/>
              </w:rPr>
              <w:t>pomiary w 2 dubletach lub</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do 4 niezależnych pomiarów jednocześnie</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Możliwość zastosowania mikropróbki (50ul) osocza</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Zakres badań: – PT, APTT, Fibrynogen Clauss, TT, ATIII, D-Dimery, Białko C, czynniki od II do XII, plazminogen, alfa-2-antyplazmina</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Podawanie automatycznie wartości INR wyliczane przez aparat z PT</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Oznaczania stężenia fibrynogenu podczas oznaczania PT  (oprócz metody Claussa)</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Oprogramowania w j. polskim z możliwością podawania wyniku w dowolnej formie i dowolnych jednostkach</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Możliwość samodzielnego programowania pomiarów</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Zapamiętywanie wprowadzonych przez użytkownika programów, krzywych kalibracyjnych i minim. 2000 wyników nawet po wyłączeniu zasilania</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Pamięć krzywych kalibracyjnych</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Kalibracja aparatu tylko przy zmianie serii odczynnika</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Drukarka wewnętrzna z wydrukiem wyników. Wydruk  zawiera także dokładny czas wykonanego badania oraz zakres wartości oczekiwanych.</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Indeksowanie wyników poza zakresem normy</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Indeksowanie na wydrukach wyników  braku wykonania pomiarów  kalibracyjnych</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Możliwość podłączenia czytnika kodów kreskowych</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Możliwość podłączenia do sieci komputerowej LIS firmy Assecco na koszt wykonawcy</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Wyposażenie w program „Kontrola Jakości” z pamięcią wyników.</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color w:val="000000"/>
                <w:sz w:val="22"/>
              </w:rPr>
              <w:t>Wykonawca dostarczy pełną instrukcję obsługi aparatu w wersji papierowej w języku polskim, karty charakterystyk odczynników i instrukcje metodyczne w wersji papierowej i w języku polskim.</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56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sz w:val="22"/>
              </w:rPr>
            </w:pPr>
            <w:r>
              <w:rPr>
                <w:rFonts w:eastAsia="Times New Roman" w:cs="Times New Roman" w:ascii="Times New Roman" w:hAnsi="Times New Roman"/>
                <w:color w:val="000000"/>
                <w:sz w:val="22"/>
              </w:rPr>
              <w:t>Wraz z materiałem kontrolnym Wykonawca zapewni dostęp do niezależnego od producenta i dystrybutora odczynników programu do kontroli wewnątrz i zewnątrz laboratoryjnej Standlab</w:t>
            </w:r>
          </w:p>
        </w:tc>
        <w:tc>
          <w:tcPr>
            <w:tcW w:w="329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 xml:space="preserve"> </w:t>
      </w:r>
      <w:r>
        <w:rPr>
          <w:rFonts w:eastAsia="Times New Roman" w:cs="Times New Roman" w:ascii="Times New Roman" w:hAnsi="Times New Roman"/>
          <w:color w:val="000000"/>
          <w:sz w:val="22"/>
        </w:rPr>
        <w:t>Ważność odczynników min. 6 mies.</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w:t>
      </w:r>
      <w:r>
        <w:rPr>
          <w:rFonts w:eastAsia="Times New Roman" w:cs="Times New Roman" w:ascii="Times New Roman" w:hAnsi="Times New Roman"/>
          <w:color w:val="000000"/>
          <w:sz w:val="22"/>
        </w:rPr>
        <w:t>lub zapewnienie bezpłatnie aparatu zastępczego, Wykonawca podaje w umowie numer telefonu do serwisu 24h, obsługi handlowej i merytorycznej.</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Wykonawca zapewnia bezpłatne naprawy i przegląd min. 1x do roku (chyba, że producent analizatora zaleca częściej – wtedy zgodnie z zaleceniami producenta) wraz z częściami zamiennymi.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W umowie Wykonawca podaje numer telefonu do Serwisu 24h, obsługi handlowej i merytorycznej.</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 xml:space="preserve">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b/>
          <w:sz w:val="22"/>
        </w:rPr>
        <w:t xml:space="preserve">Pakiet nr 6 – Elektrolity - odczynniki do analizatora  StarLyte V </w:t>
      </w:r>
      <w:r>
        <w:rPr>
          <w:rFonts w:eastAsia="Times New Roman" w:cs="Times New Roman" w:ascii="Times New Roman" w:hAnsi="Times New Roman"/>
          <w:b/>
          <w:color w:val="000000"/>
          <w:sz w:val="22"/>
        </w:rPr>
        <w:t>będącego własnością Zamawiającego</w:t>
      </w:r>
    </w:p>
    <w:tbl>
      <w:tblPr>
        <w:tblW w:w="895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96"/>
        <w:gridCol w:w="1814"/>
        <w:gridCol w:w="764"/>
        <w:gridCol w:w="932"/>
        <w:gridCol w:w="1034"/>
        <w:gridCol w:w="697"/>
        <w:gridCol w:w="1094"/>
        <w:gridCol w:w="796"/>
        <w:gridCol w:w="531"/>
        <w:gridCol w:w="795"/>
      </w:tblGrid>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81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76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93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1034"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697"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9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9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r>
              <w:rPr>
                <w:rFonts w:eastAsia="Times New Roman" w:cs="Times New Roman" w:ascii="Times New Roman" w:hAnsi="Times New Roman"/>
                <w:b/>
                <w:sz w:val="16"/>
              </w:rPr>
              <w:t xml:space="preserve"> </w:t>
            </w:r>
          </w:p>
        </w:tc>
        <w:tc>
          <w:tcPr>
            <w:tcW w:w="531"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795"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81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76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93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034"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697"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09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79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531"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795"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Odczynniki do oznaczania jonów:</w:t>
            </w:r>
          </w:p>
          <w:p>
            <w:pPr>
              <w:pStyle w:val="Normal"/>
              <w:widowControl w:val="false"/>
              <w:spacing w:lineRule="auto" w:line="240" w:before="0" w:after="0"/>
              <w:rPr>
                <w:sz w:val="22"/>
              </w:rPr>
            </w:pPr>
            <w:r>
              <w:rPr>
                <w:rFonts w:eastAsia="Times New Roman" w:cs="Times New Roman" w:ascii="Times New Roman" w:hAnsi="Times New Roman"/>
                <w:b/>
                <w:sz w:val="22"/>
              </w:rPr>
              <w:t>Na+, K+, Ca+2 zjonizowany</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15</w:t>
            </w:r>
            <w:r>
              <w:rPr>
                <w:rFonts w:eastAsia="Times New Roman" w:cs="Times New Roman" w:ascii="Times New Roman" w:hAnsi="Times New Roman"/>
                <w:b/>
                <w:sz w:val="22"/>
              </w:rPr>
              <w:t xml:space="preserve"> 000 ozn.</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9</w:t>
            </w:r>
            <w:r>
              <w:rPr>
                <w:rFonts w:eastAsia="Times New Roman" w:cs="Times New Roman" w:ascii="Times New Roman" w:hAnsi="Times New Roman"/>
                <w:b/>
                <w:sz w:val="22"/>
              </w:rPr>
              <w:t xml:space="preserve"> 000 ozn.</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3</w:t>
            </w:r>
            <w:r>
              <w:rPr>
                <w:rFonts w:eastAsia="Times New Roman" w:cs="Times New Roman" w:ascii="Times New Roman" w:hAnsi="Times New Roman"/>
                <w:b/>
                <w:sz w:val="22"/>
              </w:rPr>
              <w:t xml:space="preserve"> 000 ozn.</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Płyn czyszczący (op. 100ml.)</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 opak</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Płyn kondycjonujący (op. 100ml)</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 opak</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Materiał kontrolny poziom I (1 opak = 30 ampułek 2ml)</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 opak</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181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b/>
              </w:rPr>
              <w:t>Materiał kontrolny poziom II (1 opak = 30 ampułek 2ml)</w:t>
            </w:r>
          </w:p>
        </w:tc>
        <w:tc>
          <w:tcPr>
            <w:tcW w:w="76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 opak</w:t>
            </w:r>
          </w:p>
        </w:tc>
        <w:tc>
          <w:tcPr>
            <w:tcW w:w="93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w:t>
            </w:r>
          </w:p>
        </w:tc>
        <w:tc>
          <w:tcPr>
            <w:tcW w:w="697"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w:t>
            </w:r>
          </w:p>
        </w:tc>
        <w:tc>
          <w:tcPr>
            <w:tcW w:w="109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81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b/>
              </w:rPr>
              <w:t>Materiał kontrolny poziom III (1 opak = 30 ampułek 2ml)</w:t>
            </w:r>
          </w:p>
        </w:tc>
        <w:tc>
          <w:tcPr>
            <w:tcW w:w="76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 opak</w:t>
            </w:r>
          </w:p>
        </w:tc>
        <w:tc>
          <w:tcPr>
            <w:tcW w:w="93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opak</w:t>
            </w:r>
          </w:p>
        </w:tc>
        <w:tc>
          <w:tcPr>
            <w:tcW w:w="697"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opak</w:t>
            </w:r>
          </w:p>
        </w:tc>
        <w:tc>
          <w:tcPr>
            <w:tcW w:w="109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Elektroda sodowa</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sz w:val="22"/>
              </w:rPr>
              <w:t>3</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Elektroda potasowa</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sz w:val="22"/>
              </w:rPr>
              <w:t>3</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Elektroda wapniowa</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Elektroda referencyjna</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0 </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0 </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11.</w:t>
            </w:r>
          </w:p>
        </w:tc>
        <w:tc>
          <w:tcPr>
            <w:tcW w:w="181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Obudowa elektrody referencyjnej</w:t>
            </w:r>
          </w:p>
        </w:tc>
        <w:tc>
          <w:tcPr>
            <w:tcW w:w="76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0 </w:t>
            </w:r>
          </w:p>
        </w:tc>
        <w:tc>
          <w:tcPr>
            <w:tcW w:w="93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0 </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094"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Wężyki pompki perystaltycznej</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13.</w:t>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Rozcieńczalnik do moczu</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81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razem</w:t>
            </w:r>
          </w:p>
        </w:tc>
        <w:tc>
          <w:tcPr>
            <w:tcW w:w="76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9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9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3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9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sz w:val="22"/>
              </w:rPr>
            </w:r>
          </w:p>
        </w:tc>
      </w:tr>
    </w:tbl>
    <w:p>
      <w:pPr>
        <w:pStyle w:val="Normal"/>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b/>
          <w:b/>
          <w:sz w:val="22"/>
          <w:u w:val="single"/>
        </w:rPr>
      </w:pPr>
      <w:r>
        <w:rPr>
          <w:rFonts w:eastAsia="Times New Roman" w:cs="Times New Roman" w:ascii="Times New Roman" w:hAnsi="Times New Roman"/>
          <w:b/>
          <w:sz w:val="22"/>
          <w:u w:val="single"/>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u w:val="single"/>
        </w:rPr>
        <w:t>UWAGA: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rPr>
        <w:t>Wymienione elementy zużywalne w poz. 5-11 przeznaczone są do aparatu StarLyte V</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Należy zaoferować odczynniki zgodne z instrukcją obsługi analizatora </w:t>
      </w:r>
      <w:r>
        <w:rPr>
          <w:rFonts w:eastAsia="Times New Roman" w:cs="Times New Roman" w:ascii="Times New Roman" w:hAnsi="Times New Roman"/>
          <w:b/>
          <w:sz w:val="22"/>
        </w:rPr>
        <w:t xml:space="preserve"> StarLyte V,</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Asortyment musi umożliwiać prawidłową pracę analizatora i uzyskiwane miarodajnych wyników badań.</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Odczynniki muszą zapewnić prawidłowe funkcjonowanie toru pomiarowego (elektrod) tak aby ich parametry nie uległy zmianie a elektrody nie uległy uszkodzeniu.</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Zamawiający wymaga odczynników niewymagających dodatkowych walidacji na model </w:t>
      </w:r>
      <w:r>
        <w:rPr>
          <w:rFonts w:eastAsia="Times New Roman" w:cs="Times New Roman" w:ascii="Times New Roman" w:hAnsi="Times New Roman"/>
          <w:b/>
          <w:sz w:val="22"/>
        </w:rPr>
        <w:t xml:space="preserve"> StarLyte V </w:t>
      </w:r>
      <w:r>
        <w:rPr>
          <w:rFonts w:eastAsia="Times New Roman" w:cs="Times New Roman" w:ascii="Times New Roman" w:hAnsi="Times New Roman"/>
          <w:sz w:val="22"/>
        </w:rPr>
        <w:t>lub posiadających dokument producenta aparatu o przeprowadzenie walidacji na analizatorze</w:t>
      </w:r>
      <w:r>
        <w:rPr>
          <w:rFonts w:eastAsia="Times New Roman" w:cs="Times New Roman" w:ascii="Times New Roman" w:hAnsi="Times New Roman"/>
          <w:b/>
          <w:sz w:val="22"/>
        </w:rPr>
        <w:t xml:space="preserve"> StarLyte V</w:t>
      </w:r>
      <w:r>
        <w:rPr>
          <w:rFonts w:eastAsia="Times New Roman" w:cs="Times New Roman" w:ascii="Times New Roman" w:hAnsi="Times New Roman"/>
          <w:sz w:val="22"/>
        </w:rPr>
        <w:t>.</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Zamawiający wymaga, aby oferowane odczynniki i materiały kontrolne charakteryzowały się precyzją i odtwarzalnością dla pomiarów przeprowadzonych na analizatorze </w:t>
      </w:r>
      <w:r>
        <w:rPr>
          <w:rFonts w:eastAsia="Times New Roman" w:cs="Times New Roman" w:ascii="Times New Roman" w:hAnsi="Times New Roman"/>
          <w:b/>
          <w:sz w:val="22"/>
        </w:rPr>
        <w:t xml:space="preserve"> StarLyte V</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Wraz z materiałem kontrolnym Wykonawca zapewni dostęp do niezależnego od producenta i dystrybutora odczynników programu do kontroli wewnątrz i zewnątrzlaboratoryjnej</w:t>
      </w:r>
      <w:r>
        <w:rPr>
          <w:rFonts w:eastAsia="Times New Roman" w:cs="Times New Roman" w:ascii="Times New Roman" w:hAnsi="Times New Roman"/>
          <w:color w:val="000000"/>
          <w:sz w:val="22"/>
        </w:rPr>
        <w:t xml:space="preserve"> Standlab</w:t>
      </w:r>
    </w:p>
    <w:p>
      <w:pPr>
        <w:pStyle w:val="Normal"/>
        <w:spacing w:before="0" w:after="0"/>
        <w:rPr>
          <w:rFonts w:ascii="Calibri" w:hAnsi="Calibri" w:eastAsia="Calibri" w:cs="Calibri"/>
          <w:color w:val="000000"/>
          <w:sz w:val="22"/>
        </w:rPr>
      </w:pPr>
      <w:r>
        <w:rPr>
          <w:rFonts w:eastAsia="Times New Roman" w:cs="Times New Roman" w:ascii="Times New Roman" w:hAnsi="Times New Roman"/>
          <w:color w:val="000000"/>
          <w:sz w:val="22"/>
        </w:rPr>
        <w:t>Oświadczam, że spełniamy bądź spełnimy na etapie realizacji zamówienia wszystkie wymogi dodatkowe określone dla niniejszego zadania.</w:t>
      </w:r>
    </w:p>
    <w:p>
      <w:pPr>
        <w:pStyle w:val="Normal"/>
        <w:spacing w:before="0" w:after="0"/>
        <w:rPr>
          <w:rFonts w:ascii="Calibri" w:hAnsi="Calibri" w:eastAsia="Calibri" w:cs="Calibri"/>
          <w:sz w:val="22"/>
        </w:rPr>
      </w:pPr>
      <w:r>
        <w:rPr>
          <w:rFonts w:eastAsia="Times New Roman" w:cs="Times New Roman" w:ascii="Times New Roman" w:hAnsi="Times New Roman"/>
          <w:color w:val="000000"/>
          <w:sz w:val="22"/>
        </w:rPr>
        <w:t>Dostawca odczynników zapewnia jeden bezpłatny przegląd serwisowy aparatu rocznie przez cały czas trwania umowy.</w:t>
      </w:r>
    </w:p>
    <w:p>
      <w:pPr>
        <w:pStyle w:val="Normal"/>
        <w:spacing w:before="0" w:after="0"/>
        <w:rPr>
          <w:rFonts w:ascii="Calibri" w:hAnsi="Calibri" w:eastAsia="Calibri" w:cs="Calibri"/>
          <w:color w:val="000000"/>
          <w:sz w:val="22"/>
        </w:rPr>
      </w:pPr>
      <w:r>
        <w:rPr>
          <w:rFonts w:eastAsia="Calibri" w:cs="Calibri" w:ascii="Calibri" w:hAnsi="Calibri"/>
          <w:color w:val="000000"/>
          <w:sz w:val="22"/>
        </w:rPr>
        <w:t>Dostawca odczynników zapewnia</w:t>
      </w:r>
      <w:r>
        <w:rPr>
          <w:rFonts w:eastAsia="Calibri" w:cs="Calibri" w:ascii="Calibri" w:hAnsi="Calibri"/>
          <w:sz w:val="22"/>
        </w:rPr>
        <w:t xml:space="preserve"> </w:t>
      </w:r>
      <w:r>
        <w:rPr>
          <w:rFonts w:eastAsia="Calibri" w:cs="Calibri" w:ascii="Calibri" w:hAnsi="Calibri"/>
          <w:color w:val="000000"/>
          <w:sz w:val="22"/>
        </w:rPr>
        <w:t xml:space="preserve">elektrody i części zamienne zgodne z aparatem StarLyte V. W przypadku gdy analizator ulegnie awarii z winy dostarczanych części zamiennych lub elektrod Wykonawca będzie zobowiązany pokryć koszty naprawy. W celu oceny przyczyn awarii Zamawiający skieruje do naprawy urządzenie do autoryzowanego przedstawiciela producenta urządzenia. Jeżeli natomiast, dostarczone elektrody będą uniemożliwiały przeprowadzenie prawidłowych badań Wykonawca będzie zobowiązany dostarczyć nowe oraz pokrywać koszty zleconych przez Zamawiającego badań do czasu dostarczenia nowych elektrod. </w:t>
      </w:r>
    </w:p>
    <w:p>
      <w:pPr>
        <w:pStyle w:val="Normal"/>
        <w:spacing w:before="0" w:after="0"/>
        <w:rPr>
          <w:rFonts w:ascii="Calibri" w:hAnsi="Calibri" w:eastAsia="Calibri" w:cs="Calibri"/>
          <w:color w:val="000000"/>
          <w:sz w:val="22"/>
        </w:rPr>
      </w:pPr>
      <w:r>
        <w:rPr>
          <w:rFonts w:eastAsia="Calibri" w:cs="Calibri" w:ascii="Calibri" w:hAnsi="Calibri"/>
          <w:color w:val="000000"/>
          <w:sz w:val="22"/>
        </w:rPr>
        <w:t>Dostawca odczynników zapewnia serwis autoryzowany przed firmę Alfa – Wassermann lub inny autoryzowany serwis oraz bezpłatny aparat zastępczy na czas naprawy</w:t>
      </w:r>
    </w:p>
    <w:p>
      <w:pPr>
        <w:pStyle w:val="Normal"/>
        <w:spacing w:before="0" w:after="0"/>
        <w:rPr>
          <w:rFonts w:ascii="Calibri" w:hAnsi="Calibri" w:eastAsia="Calibri" w:cs="Calibri"/>
          <w:color w:val="000000"/>
          <w:sz w:val="22"/>
        </w:rPr>
      </w:pPr>
      <w:r>
        <w:rPr>
          <w:rFonts w:eastAsia="Calibri" w:cs="Calibri" w:ascii="Calibri" w:hAnsi="Calibri"/>
          <w:color w:val="000000"/>
          <w:sz w:val="22"/>
        </w:rPr>
        <w:t>Dostawca dostarcza karty charakterystyk odczynników i instrukcje metodyczne odczynników w języku polskim</w:t>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 xml:space="preserve">Pakiet nr 7 – Immunodiagnostyka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rPr>
        <w:t>Odczynniki do badań immunochemicznych wraz z dzierżawą aparatu immunodiagnostycznego wraz ze stosownym wyposażeniem i wpięciem go do systemu informatycznego będącego własnością zamawiającego</w:t>
      </w:r>
    </w:p>
    <w:tbl>
      <w:tblPr>
        <w:tblW w:w="895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485"/>
        <w:gridCol w:w="1762"/>
        <w:gridCol w:w="1000"/>
        <w:gridCol w:w="917"/>
        <w:gridCol w:w="1015"/>
        <w:gridCol w:w="628"/>
        <w:gridCol w:w="1069"/>
        <w:gridCol w:w="778"/>
        <w:gridCol w:w="519"/>
        <w:gridCol w:w="776"/>
      </w:tblGrid>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76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1000"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917"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1015"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628"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6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7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p>
        </w:tc>
        <w:tc>
          <w:tcPr>
            <w:tcW w:w="51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776"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76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1000"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917"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01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628"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06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77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51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776"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CK-mb mass</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2600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1560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520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2.</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Ferrytyna</w:t>
            </w:r>
          </w:p>
          <w:p>
            <w:pPr>
              <w:pStyle w:val="Normal"/>
              <w:widowControl w:val="false"/>
              <w:spacing w:lineRule="auto" w:line="240" w:before="0" w:after="0"/>
              <w:rPr>
                <w:sz w:val="22"/>
              </w:rPr>
            </w:pPr>
            <w:r>
              <w:rPr>
                <w:sz w:val="22"/>
              </w:rPr>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300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180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3.</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PSA total</w:t>
            </w:r>
          </w:p>
          <w:p>
            <w:pPr>
              <w:pStyle w:val="Normal"/>
              <w:widowControl w:val="false"/>
              <w:spacing w:lineRule="auto" w:line="240" w:before="0" w:after="0"/>
              <w:rPr>
                <w:sz w:val="22"/>
              </w:rPr>
            </w:pPr>
            <w:r>
              <w:rPr>
                <w:sz w:val="22"/>
              </w:rPr>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200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120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4.</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TSH 3 gen.</w:t>
            </w:r>
          </w:p>
          <w:p>
            <w:pPr>
              <w:pStyle w:val="Normal"/>
              <w:widowControl w:val="false"/>
              <w:spacing w:lineRule="auto" w:line="240" w:before="0" w:after="0"/>
              <w:rPr>
                <w:sz w:val="22"/>
              </w:rPr>
            </w:pPr>
            <w:r>
              <w:rPr>
                <w:sz w:val="22"/>
              </w:rPr>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3000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1800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600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5.</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Troponina Ths</w:t>
            </w:r>
          </w:p>
          <w:p>
            <w:pPr>
              <w:pStyle w:val="Normal"/>
              <w:widowControl w:val="false"/>
              <w:spacing w:lineRule="auto" w:line="240" w:before="0" w:after="0"/>
              <w:rPr>
                <w:sz w:val="22"/>
              </w:rPr>
            </w:pPr>
            <w:r>
              <w:rPr>
                <w:sz w:val="22"/>
              </w:rPr>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4000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2400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800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6.</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Witamina B12</w:t>
            </w:r>
          </w:p>
          <w:p>
            <w:pPr>
              <w:pStyle w:val="Normal"/>
              <w:widowControl w:val="false"/>
              <w:spacing w:lineRule="auto" w:line="240" w:before="0" w:after="0"/>
              <w:rPr>
                <w:sz w:val="22"/>
              </w:rPr>
            </w:pPr>
            <w:r>
              <w:rPr>
                <w:sz w:val="22"/>
              </w:rPr>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600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360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7.</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fT3</w:t>
            </w:r>
          </w:p>
          <w:p>
            <w:pPr>
              <w:pStyle w:val="Normal"/>
              <w:widowControl w:val="false"/>
              <w:spacing w:lineRule="auto" w:line="240" w:before="0" w:after="0"/>
              <w:rPr>
                <w:sz w:val="22"/>
              </w:rPr>
            </w:pPr>
            <w:r>
              <w:rPr>
                <w:sz w:val="22"/>
              </w:rPr>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300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180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8.</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fT4</w:t>
            </w:r>
          </w:p>
          <w:p>
            <w:pPr>
              <w:pStyle w:val="Normal"/>
              <w:widowControl w:val="false"/>
              <w:spacing w:lineRule="auto" w:line="240" w:before="0" w:after="0"/>
              <w:rPr>
                <w:sz w:val="22"/>
              </w:rPr>
            </w:pPr>
            <w:r>
              <w:rPr>
                <w:sz w:val="22"/>
              </w:rPr>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400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240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80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9.</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NT-proBNP</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2000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400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10.</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Prokalcytonina</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3000</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1800</w:t>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600</w:t>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11.</w:t>
            </w:r>
          </w:p>
        </w:tc>
        <w:tc>
          <w:tcPr>
            <w:tcW w:w="176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Anty-CCP</w:t>
            </w:r>
          </w:p>
        </w:tc>
        <w:tc>
          <w:tcPr>
            <w:tcW w:w="100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0</w:t>
            </w:r>
          </w:p>
        </w:tc>
        <w:tc>
          <w:tcPr>
            <w:tcW w:w="917"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0</w:t>
            </w:r>
          </w:p>
        </w:tc>
        <w:tc>
          <w:tcPr>
            <w:tcW w:w="628"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100</w:t>
            </w:r>
          </w:p>
        </w:tc>
        <w:tc>
          <w:tcPr>
            <w:tcW w:w="106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12</w:t>
            </w:r>
          </w:p>
        </w:tc>
        <w:tc>
          <w:tcPr>
            <w:tcW w:w="176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Interleukina 6</w:t>
            </w:r>
          </w:p>
        </w:tc>
        <w:tc>
          <w:tcPr>
            <w:tcW w:w="100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0</w:t>
            </w:r>
          </w:p>
        </w:tc>
        <w:tc>
          <w:tcPr>
            <w:tcW w:w="917"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0</w:t>
            </w:r>
          </w:p>
        </w:tc>
        <w:tc>
          <w:tcPr>
            <w:tcW w:w="628"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100</w:t>
            </w:r>
          </w:p>
        </w:tc>
        <w:tc>
          <w:tcPr>
            <w:tcW w:w="106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b/>
                <w:b/>
                <w:bCs/>
                <w:sz w:val="22"/>
              </w:rPr>
            </w:pPr>
            <w:r>
              <w:rPr>
                <w:rFonts w:eastAsia="Calibri" w:cs="Calibri" w:ascii="Calibri" w:hAnsi="Calibri"/>
                <w:b/>
                <w:bCs/>
                <w:sz w:val="22"/>
              </w:rPr>
              <w:t>13</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EE0000"/>
                <w:sz w:val="22"/>
              </w:rPr>
              <w:t xml:space="preserve">Materiały do analizatora  na okres 24 m – miesięczny ryczałt </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Times New Roman" w:cs="Times New Roman" w:ascii="Times New Roman" w:hAnsi="Times New Roman"/>
                <w:b/>
                <w:color w:val="EE0000"/>
                <w:sz w:val="22"/>
              </w:rPr>
              <w:t>24 miesiące</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auto" w:fill="000000" w:themeFill="text1" w:val="clear"/>
          </w:tcPr>
          <w:p>
            <w:pPr>
              <w:pStyle w:val="Normal"/>
              <w:widowControl w:val="false"/>
              <w:spacing w:lineRule="auto" w:line="240" w:before="0" w:after="0"/>
              <w:rPr>
                <w:rFonts w:ascii="Calibri" w:hAnsi="Calibri" w:eastAsia="Calibri" w:cs="Calibri"/>
                <w:sz w:val="22"/>
                <w:highlight w:val="black"/>
              </w:rPr>
            </w:pPr>
            <w:r>
              <w:rPr>
                <w:rFonts w:eastAsia="Calibri" w:cs="Calibri" w:ascii="Calibri" w:hAnsi="Calibri"/>
                <w:sz w:val="22"/>
                <w:highlight w:val="black"/>
              </w:rPr>
            </w:r>
          </w:p>
        </w:tc>
        <w:tc>
          <w:tcPr>
            <w:tcW w:w="628" w:type="dxa"/>
            <w:tcBorders>
              <w:top w:val="single" w:sz="4" w:space="0" w:color="000000"/>
              <w:left w:val="single" w:sz="4" w:space="0" w:color="000000"/>
              <w:bottom w:val="single" w:sz="4" w:space="0" w:color="000000"/>
              <w:right w:val="single" w:sz="4" w:space="0" w:color="000000"/>
            </w:tcBorders>
            <w:shd w:color="auto" w:fill="000000" w:themeFill="text1" w:val="clear"/>
          </w:tcPr>
          <w:p>
            <w:pPr>
              <w:pStyle w:val="Normal"/>
              <w:widowControl w:val="false"/>
              <w:spacing w:lineRule="auto" w:line="240" w:before="0" w:after="0"/>
              <w:rPr>
                <w:rFonts w:ascii="Calibri" w:hAnsi="Calibri" w:eastAsia="Calibri" w:cs="Calibri"/>
                <w:sz w:val="22"/>
                <w:highlight w:val="black"/>
              </w:rPr>
            </w:pPr>
            <w:r>
              <w:rPr>
                <w:rFonts w:eastAsia="Calibri" w:cs="Calibri" w:ascii="Calibri" w:hAnsi="Calibri"/>
                <w:sz w:val="22"/>
                <w:highlight w:val="black"/>
              </w:rPr>
            </w:r>
          </w:p>
        </w:tc>
        <w:tc>
          <w:tcPr>
            <w:tcW w:w="1069"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14.</w:t>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Dzierżawa</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 miesiące</w:t>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28" w:type="dxa"/>
            <w:tcBorders>
              <w:top w:val="single" w:sz="4" w:space="0" w:color="000000"/>
              <w:left w:val="single" w:sz="4" w:space="0" w:color="000000"/>
              <w:bottom w:val="single" w:sz="4" w:space="0" w:color="000000"/>
              <w:right w:val="single" w:sz="4"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7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razem</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17"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6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1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tbl>
      <w:tblPr>
        <w:tblpPr w:vertAnchor="text" w:horzAnchor="margin" w:tblpXSpec="center" w:leftFromText="180" w:rightFromText="180" w:tblpY="820"/>
        <w:tblW w:w="807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62"/>
        <w:gridCol w:w="2409"/>
        <w:gridCol w:w="2553"/>
        <w:gridCol w:w="2550"/>
      </w:tblGrid>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Lp.</w:t>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Opis przedmiotu zamówienia</w:t>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color w:val="92D050"/>
              </w:rPr>
            </w:pPr>
            <w:r>
              <w:rPr>
                <w:color w:val="92D050"/>
              </w:rPr>
              <w:t>Nazwa/nr katalogowy</w:t>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92D050"/>
                <w:sz w:val="22"/>
              </w:rPr>
            </w:pPr>
            <w:r>
              <w:rPr>
                <w:color w:val="92D050"/>
              </w:rPr>
              <w:t>Liczba niezbędna do pracy analizatora przez 24 miesiące</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1</w:t>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Times New Roman" w:cs="Times New Roman" w:ascii="Times New Roman" w:hAnsi="Times New Roman"/>
                <w:b/>
                <w:sz w:val="22"/>
              </w:rPr>
              <w:t xml:space="preserve">Kalibratory  ilość zgodnie z zaleceniami producenta </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8074" w:type="dxa"/>
            <w:gridSpan w:val="4"/>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2   Materiały kontrolne (kontrola 2x w tygodniu na 2 poziomach)</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3</w:t>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Times New Roman" w:cs="Times New Roman" w:ascii="Times New Roman" w:hAnsi="Times New Roman"/>
                <w:b/>
                <w:sz w:val="22"/>
              </w:rPr>
              <w:t>Materiały eksploatacyjne w ilości zabezpieczającej czas trwania umowy</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bl>
    <w:p>
      <w:pPr>
        <w:pStyle w:val="Normal"/>
        <w:spacing w:before="0" w:after="200"/>
        <w:rPr>
          <w:rFonts w:ascii="Times New Roman" w:hAnsi="Times New Roman" w:eastAsia="Times New Roman" w:cs="Times New Roman"/>
          <w:strike/>
          <w:color w:val="EE0000"/>
          <w:sz w:val="22"/>
        </w:rPr>
      </w:pPr>
      <w:r/>
      <w:r>
        <w:rPr>
          <w:rFonts w:eastAsia="Times New Roman" w:cs="Times New Roman" w:ascii="Times New Roman" w:hAnsi="Times New Roman"/>
          <w:strike/>
          <w:color w:val="EE0000"/>
          <w:sz w:val="22"/>
        </w:rPr>
        <w:t>Koszty pozycji 13 - 15 Wykonawca uwzględnia w pozycji 16 (dzierżawa)</w:t>
      </w:r>
    </w:p>
    <w:p>
      <w:pPr>
        <w:pStyle w:val="Normal"/>
        <w:spacing w:before="0" w:after="200"/>
        <w:rPr>
          <w:rFonts w:ascii="Times New Roman" w:hAnsi="Times New Roman" w:eastAsia="Times New Roman" w:cs="Times New Roman"/>
          <w:color w:val="EE0000"/>
          <w:sz w:val="22"/>
        </w:rPr>
      </w:pPr>
      <w:r>
        <w:rPr>
          <w:rFonts w:eastAsia="Times New Roman" w:cs="Times New Roman" w:ascii="Times New Roman" w:hAnsi="Times New Roman"/>
          <w:color w:val="EE0000"/>
          <w:sz w:val="22"/>
        </w:rPr>
        <w:t>W tabeli należy wpisać wszystkie niezbędne materiały eksploatacyjnie wraz z przewidywaną niezbędną liczbą materiałów w okresie 24 miesięcy. Na podstawie powyższych informacji należy wyliczyć miesięczny ryczałt oraz wpisać do tabeli w pozycji 13.</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UWAGI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Zgodnie z wytycznymi Polskiego Towarzystwa Kardiologicznego dla troponiny akceptowany błąd na poziomie 99 percentyla nie powinien przekraczać 10% Czułość analityczna 0.01ng/ml - wysokoczuła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rPr>
        <w:t>Specyfikacja dla analizatora immunochemicznego.</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Analizator z gwarancją po przeglądzie technicznym, w pełni automatyczny, wieloparametrowy, wykonujący min. 80 badań/godzinę.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 przypadku trzykrotnej awarii tego samego elementu wymiana na analizator nie gorszy niż użytkowany.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Mała objętość próbki (5-50ul)</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Wykonywanie badań z próbek macierzystych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Chłodzony rotor odczynnikowy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Automatyczne rozcieńczanie próbek</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Układ dozujący:  pipetor  z systemem wykrywania poziomu płynów, detektorem skrzepów i  mikroskrzepów w danym materiale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 każdej chwili możliwy podgląd oznaczanych próbek oraz możliwość monitorowania stanu odczynników i materiałów zużywalnych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Praca w systemie „próbka po  próbce” z możliwością dokładania próbki w każdej chwili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Komputer zewnętrzny z systemem operacyjnym oraz monitorem LCD i drukarką laserową</w:t>
      </w:r>
      <w:r>
        <w:rPr>
          <w:rFonts w:eastAsia="Times New Roman" w:cs="Times New Roman" w:ascii="Times New Roman" w:hAnsi="Times New Roman"/>
          <w:color w:val="C9211E"/>
          <w:sz w:val="22"/>
        </w:rPr>
        <w:t>.</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Dodatkowe stanowisko komputerowe do opracowywania wyników badań oraz do przechowywania danych pacjentów</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Oprogramowanie zewnętrzne wraz z dwustronną komunikacją, możliwością wydruku wyników w formacie A5, identyfikacji pacjentów po PESELu,  możliwość prowadzenia statystyki i jej wydruku, dzienny wydruk zbiorczy, wydruk miesięczny zawierający dane identyfikacyjne oddziału oraz pacjentów (imię, nazwisko)</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Wbudowany w analizator moduł kontroli jakości (zbiór wyników wraz z wykresem kart kontroli), przegląd dzienny, miesięczny wyników kontroli jakości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Automatyczna procedura czyszczenia analizatora</w:t>
      </w:r>
    </w:p>
    <w:p>
      <w:pPr>
        <w:pStyle w:val="Normal"/>
        <w:spacing w:lineRule="auto" w:line="240" w:before="0" w:after="200"/>
        <w:rPr>
          <w:rFonts w:ascii="Times New Roman" w:hAnsi="Times New Roman" w:eastAsia="Times New Roman" w:cs="Times New Roman"/>
        </w:rPr>
      </w:pPr>
      <w:r>
        <w:rPr>
          <w:rFonts w:eastAsia="Times New Roman" w:cs="Times New Roman" w:ascii="Times New Roman" w:hAnsi="Times New Roman"/>
        </w:rPr>
        <w:t xml:space="preserve">Termin ważności wszystkich dostarczonych odczynników, materiałów kontrolnych i kalibratorów nie krótszy niż </w:t>
      </w:r>
      <w:r>
        <w:rPr>
          <w:rFonts w:eastAsia="Times New Roman" w:cs="Times New Roman" w:ascii="Times New Roman" w:hAnsi="Times New Roman"/>
          <w:color w:val="000000"/>
        </w:rPr>
        <w:t>6</w:t>
      </w:r>
      <w:r>
        <w:rPr>
          <w:rFonts w:eastAsia="Times New Roman" w:cs="Times New Roman" w:ascii="Times New Roman" w:hAnsi="Times New Roman"/>
        </w:rPr>
        <w:t xml:space="preserve"> miesięcy. Odczynniki gotowe do użycia i rekalibrowalne.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Instrukcja w języku polskim w wersji papierowej</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Metodyki oznaczeń, Karty charakterystyk substancji niebezpiecznych ujętych w wykazie MZiOS zawarte w odczynnikach – wersja papierowa w języku polskim</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Wykonawca dostarcza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 </w:t>
      </w:r>
      <w:r>
        <w:rPr>
          <w:rFonts w:eastAsia="Times New Roman" w:cs="Times New Roman" w:ascii="Times New Roman" w:hAnsi="Times New Roman"/>
          <w:sz w:val="22"/>
        </w:rPr>
        <w:t xml:space="preserve">- wirówkę laboratoryjną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lampę bakteriobójczą przenośną</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Klimatyzator w celu zapewnienia odpowiednich warunków środowiskowych utrzymanie odpowiedniej temperatury o zakresie temp. +18 -  +25 stop.C przystosowany do pomieszczenia o kubaturze 50 m3 z funkcją grzania. Wykonawca zapewni czyszczenie klimatyzatora w razie konieczność, ale nie rzadziej niż 2 x w roku.</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 </w:t>
      </w:r>
      <w:r>
        <w:rPr>
          <w:rFonts w:eastAsia="Times New Roman" w:cs="Times New Roman" w:ascii="Times New Roman" w:hAnsi="Times New Roman"/>
          <w:color w:val="000000"/>
          <w:sz w:val="22"/>
        </w:rPr>
        <w:t>1 pipetę automatyczną, nastawną o poj. 1000 - 5000ul konieczną do przygotowania kontroli i kalibratorów z możliwością bezpłatnego przekazania Zamawiającemu po zakończeniu umowy.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 bezpłatny (wyceniony w odczynnikach) pakiet startowy (1opak. TSH)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 xml:space="preserve">- drukarkę kodów kreskowych wraz z wraz z kompatybilnymi etykietami.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Wykonawca podaje w umowie numer telefonu do serwisu 24h, obsługi handlowej i merytorycznej.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w:t>
      </w:r>
      <w:r>
        <w:rPr>
          <w:rFonts w:eastAsia="Times New Roman" w:cs="Times New Roman" w:ascii="Times New Roman" w:hAnsi="Times New Roman"/>
          <w:color w:val="000000"/>
          <w:sz w:val="22"/>
        </w:rPr>
        <w:t>lub zapewnienie bezpłatnie aparatu zastępczego,</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Wykonawca zapewnia bezpłatne naprawy i przegląd min. 1x do roku (chyba, że producent analizatora zaleca częściej – wtedy zgodnie z zaleceniami producenta) wraz z częściami zamiennymi.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 xml:space="preserve">Ważność odczynników min. 6mies.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tbl>
      <w:tblPr>
        <w:tblW w:w="8957" w:type="dxa"/>
        <w:jc w:val="left"/>
        <w:tblInd w:w="115" w:type="dxa"/>
        <w:tblLayout w:type="fixed"/>
        <w:tblCellMar>
          <w:top w:w="0" w:type="dxa"/>
          <w:left w:w="100" w:type="dxa"/>
          <w:bottom w:w="0" w:type="dxa"/>
          <w:right w:w="100" w:type="dxa"/>
        </w:tblCellMar>
        <w:tblLook w:firstRow="0" w:noVBand="0" w:lastRow="0" w:firstColumn="0" w:lastColumn="0" w:noHBand="0" w:val="0000"/>
      </w:tblPr>
      <w:tblGrid>
        <w:gridCol w:w="8957"/>
      </w:tblGrid>
      <w:tr>
        <w:trPr>
          <w:trHeight w:val="1" w:hRule="atLeast"/>
        </w:trPr>
        <w:tc>
          <w:tcPr>
            <w:tcW w:w="895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0"/>
              <w:rPr>
                <w:rFonts w:ascii="Times New Roman" w:hAnsi="Times New Roman" w:eastAsia="Times New Roman" w:cs="Times New Roman"/>
                <w:sz w:val="22"/>
              </w:rPr>
            </w:pPr>
            <w:r>
              <w:rPr>
                <w:rFonts w:eastAsia="Times New Roman" w:cs="Times New Roman" w:ascii="Times New Roman" w:hAnsi="Times New Roman"/>
                <w:sz w:val="22"/>
              </w:rPr>
              <w:t>Wymagana jest integracja dostarczonego aparatu w zakresie przesyłania list roboczych (zleceń) z systemu InfoMedica firmy Asseco SA do aparatu oraz odsyłania wyników badań z aparatu do systemu InfoMedica firmy Asseco SA. Wszelkie koszty zakupu wymaganych licencji po stronie Infomedica oraz po stronie aparatu ponosi Wykonawca, jak również koszty wdrożenia w/w integracji.</w:t>
            </w:r>
          </w:p>
          <w:p>
            <w:pPr>
              <w:pStyle w:val="Normal"/>
              <w:widowControl w:val="false"/>
              <w:spacing w:before="0" w:after="0"/>
              <w:rPr>
                <w:rFonts w:ascii="Times New Roman" w:hAnsi="Times New Roman" w:eastAsia="Times New Roman" w:cs="Times New Roman"/>
                <w:sz w:val="22"/>
              </w:rPr>
            </w:pPr>
            <w:r>
              <w:rPr>
                <w:rFonts w:eastAsia="Times New Roman" w:cs="Times New Roman" w:ascii="Times New Roman" w:hAnsi="Times New Roman"/>
                <w:sz w:val="22"/>
              </w:rPr>
              <w:t>Zasilacz awaryjny UPS stanowiący wyposażenie analizatora umożliwiający podtrzymanie pracy w przypadku zaniku napięcia sieci i umożliwiający bezpieczne</w:t>
            </w:r>
          </w:p>
          <w:p>
            <w:pPr>
              <w:pStyle w:val="Normal"/>
              <w:widowControl w:val="false"/>
              <w:spacing w:before="0" w:after="0"/>
              <w:rPr>
                <w:rFonts w:ascii="Times New Roman" w:hAnsi="Times New Roman" w:eastAsia="Times New Roman" w:cs="Times New Roman"/>
                <w:sz w:val="22"/>
              </w:rPr>
            </w:pPr>
            <w:r>
              <w:rPr>
                <w:rFonts w:eastAsia="Times New Roman" w:cs="Times New Roman" w:ascii="Times New Roman" w:hAnsi="Times New Roman"/>
                <w:sz w:val="22"/>
              </w:rPr>
              <w:t>zamknięcie trwającego cyklu pracy oraz przywrócenie systemu do pracy po wznowieniu dostawy energii elektrycznej</w:t>
            </w:r>
          </w:p>
          <w:p>
            <w:pPr>
              <w:pStyle w:val="Normal"/>
              <w:widowControl w:val="false"/>
              <w:spacing w:before="0" w:after="0"/>
              <w:rPr>
                <w:sz w:val="22"/>
              </w:rPr>
            </w:pPr>
            <w:r>
              <w:rPr>
                <w:rFonts w:eastAsia="Times New Roman" w:cs="Times New Roman" w:ascii="Times New Roman" w:hAnsi="Times New Roman"/>
                <w:sz w:val="22"/>
              </w:rPr>
              <w:t xml:space="preserve">Wraz z materiałem kontrolnym Wykonawca zapewni dostęp do programu kontroli </w:t>
            </w:r>
            <w:r>
              <w:rPr>
                <w:rFonts w:eastAsia="Times New Roman" w:cs="Times New Roman" w:ascii="Times New Roman" w:hAnsi="Times New Roman"/>
                <w:color w:val="000000"/>
                <w:sz w:val="22"/>
              </w:rPr>
              <w:t>Standlab na koszt Wykonawcy</w:t>
            </w:r>
          </w:p>
        </w:tc>
      </w:tr>
    </w:tbl>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Jeżeli zaproponowany analizator wymaga dodatkowych materiałów zużywalnych, płynów myjących itp. należy je uwzględnić w formularzu asortymentowo-cenowym proponującym ilość niezbędną do wykonania badań, które wynikają z zapotrzebowania na odczynniki</w:t>
      </w:r>
    </w:p>
    <w:p>
      <w:pPr>
        <w:pStyle w:val="Normal"/>
        <w:spacing w:before="0" w:after="200"/>
        <w:rPr>
          <w:rFonts w:ascii="Calibri" w:hAnsi="Calibri" w:eastAsia="Calibri" w:cs="Calibri"/>
          <w:b/>
          <w:b/>
          <w:sz w:val="22"/>
        </w:rPr>
      </w:pPr>
      <w:r>
        <w:rPr>
          <w:rFonts w:eastAsia="Calibri" w:cs="Calibri" w:ascii="Calibri" w:hAnsi="Calibri"/>
          <w:b/>
          <w:sz w:val="22"/>
        </w:rPr>
        <w:t xml:space="preserve">Wykonawca zapewnia dostęp do niezależnego od producenta i dystrybutora odczynników programu kontroli ZEWNĄTRZLABORATORYJNEJ dla </w:t>
      </w:r>
      <w:r>
        <w:rPr>
          <w:rFonts w:eastAsia="Calibri" w:cs="Calibri" w:ascii="Calibri" w:hAnsi="Calibri"/>
          <w:b/>
          <w:sz w:val="22"/>
          <w:u w:val="single"/>
        </w:rPr>
        <w:t>Prokalcytoniny</w:t>
      </w:r>
      <w:r>
        <w:rPr>
          <w:rFonts w:eastAsia="Calibri" w:cs="Calibri" w:ascii="Calibri" w:hAnsi="Calibri"/>
          <w:b/>
          <w:sz w:val="22"/>
        </w:rPr>
        <w:t xml:space="preserve"> na cały czas trwania umowy (rok 2026 i 2027), zakończony co roku Certyfikatem potwierdzającym uczestnictwo.</w:t>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t>Kryterium oceny oferty – parametry funkcjonalne</w:t>
      </w:r>
    </w:p>
    <w:tbl>
      <w:tblPr>
        <w:tblW w:w="9007" w:type="dxa"/>
        <w:jc w:val="left"/>
        <w:tblInd w:w="55" w:type="dxa"/>
        <w:tblLayout w:type="fixed"/>
        <w:tblCellMar>
          <w:top w:w="0" w:type="dxa"/>
          <w:left w:w="54" w:type="dxa"/>
          <w:bottom w:w="0" w:type="dxa"/>
          <w:right w:w="54" w:type="dxa"/>
        </w:tblCellMar>
        <w:tblLook w:firstRow="0" w:noVBand="0" w:lastRow="0" w:firstColumn="0" w:lastColumn="0" w:noHBand="0" w:val="0000"/>
      </w:tblPr>
      <w:tblGrid>
        <w:gridCol w:w="360"/>
        <w:gridCol w:w="2705"/>
        <w:gridCol w:w="2585"/>
        <w:gridCol w:w="1633"/>
        <w:gridCol w:w="1724"/>
      </w:tblGrid>
      <w:tr>
        <w:trPr>
          <w:trHeight w:val="1" w:hRule="atLeast"/>
        </w:trPr>
        <w:tc>
          <w:tcPr>
            <w:tcW w:w="3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Lp</w:t>
            </w:r>
          </w:p>
        </w:tc>
        <w:tc>
          <w:tcPr>
            <w:tcW w:w="270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b/>
                <w:sz w:val="22"/>
              </w:rPr>
              <w:t>Parametr podlegający ocenie</w:t>
            </w:r>
          </w:p>
        </w:tc>
        <w:tc>
          <w:tcPr>
            <w:tcW w:w="25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b/>
                <w:sz w:val="22"/>
              </w:rPr>
              <w:t>Opis parametru</w:t>
            </w:r>
          </w:p>
        </w:tc>
        <w:tc>
          <w:tcPr>
            <w:tcW w:w="163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b/>
                <w:sz w:val="22"/>
              </w:rPr>
              <w:t>Zakres punktacji</w:t>
            </w:r>
          </w:p>
        </w:tc>
        <w:tc>
          <w:tcPr>
            <w:tcW w:w="1724"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b/>
                <w:sz w:val="22"/>
              </w:rPr>
              <w:t>Liczba przyznanych punktów</w:t>
            </w:r>
          </w:p>
        </w:tc>
      </w:tr>
      <w:tr>
        <w:trPr>
          <w:trHeight w:val="1" w:hRule="atLeast"/>
        </w:trPr>
        <w:tc>
          <w:tcPr>
            <w:tcW w:w="3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1.</w:t>
            </w:r>
          </w:p>
        </w:tc>
        <w:tc>
          <w:tcPr>
            <w:tcW w:w="270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 xml:space="preserve">Czas uzyskania wyniku badania </w:t>
            </w:r>
            <w:r>
              <w:rPr>
                <w:rFonts w:eastAsia="Calibri" w:cs="Calibri" w:ascii="Calibri" w:hAnsi="Calibri"/>
                <w:b/>
                <w:sz w:val="22"/>
              </w:rPr>
              <w:t>Troponiny Ths</w:t>
            </w:r>
            <w:r>
              <w:rPr>
                <w:rFonts w:eastAsia="Calibri" w:cs="Calibri" w:ascii="Calibri" w:hAnsi="Calibri"/>
                <w:sz w:val="22"/>
              </w:rPr>
              <w:t xml:space="preserve"> od momentu włożenia próbki do analizatora – podać w minutach i sekundach</w:t>
            </w:r>
          </w:p>
        </w:tc>
        <w:tc>
          <w:tcPr>
            <w:tcW w:w="25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r>
          </w:p>
        </w:tc>
        <w:tc>
          <w:tcPr>
            <w:tcW w:w="163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Najkrótszy – 16 pkt</w:t>
            </w:r>
          </w:p>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pozostałe - 0pkt</w:t>
            </w:r>
          </w:p>
        </w:tc>
        <w:tc>
          <w:tcPr>
            <w:tcW w:w="1724"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r>
          </w:p>
        </w:tc>
      </w:tr>
      <w:tr>
        <w:trPr>
          <w:trHeight w:val="1" w:hRule="atLeast"/>
        </w:trPr>
        <w:tc>
          <w:tcPr>
            <w:tcW w:w="3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2.</w:t>
            </w:r>
          </w:p>
        </w:tc>
        <w:tc>
          <w:tcPr>
            <w:tcW w:w="270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Aparat gotowy do pracy przez całą dobę, podać czas przejścia ze stanu „stand-by” do gotowości w minutach i sekundach</w:t>
            </w:r>
          </w:p>
        </w:tc>
        <w:tc>
          <w:tcPr>
            <w:tcW w:w="25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r>
          </w:p>
        </w:tc>
        <w:tc>
          <w:tcPr>
            <w:tcW w:w="163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Najkrótszy – 4pkt</w:t>
            </w:r>
          </w:p>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Pozostałe - 0pkt</w:t>
            </w:r>
          </w:p>
        </w:tc>
        <w:tc>
          <w:tcPr>
            <w:tcW w:w="1724"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r>
          </w:p>
        </w:tc>
      </w:tr>
      <w:tr>
        <w:trPr>
          <w:trHeight w:val="1" w:hRule="atLeast"/>
        </w:trPr>
        <w:tc>
          <w:tcPr>
            <w:tcW w:w="3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3.</w:t>
            </w:r>
          </w:p>
        </w:tc>
        <w:tc>
          <w:tcPr>
            <w:tcW w:w="270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Możliwość wczytywania wartości kalibratorów i kontroli z pliku lub kodu kreskowego.</w:t>
            </w:r>
          </w:p>
        </w:tc>
        <w:tc>
          <w:tcPr>
            <w:tcW w:w="25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r>
          </w:p>
        </w:tc>
        <w:tc>
          <w:tcPr>
            <w:tcW w:w="163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Tak - 2 pkt,</w:t>
            </w:r>
          </w:p>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 xml:space="preserve"> </w:t>
            </w:r>
            <w:r>
              <w:rPr>
                <w:rFonts w:eastAsia="Calibri" w:cs="Calibri" w:ascii="Calibri" w:hAnsi="Calibri"/>
                <w:sz w:val="22"/>
              </w:rPr>
              <w:t>Nie - 0 pkt</w:t>
            </w:r>
          </w:p>
        </w:tc>
        <w:tc>
          <w:tcPr>
            <w:tcW w:w="1724"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r>
          </w:p>
        </w:tc>
      </w:tr>
      <w:tr>
        <w:trPr>
          <w:trHeight w:val="1" w:hRule="atLeast"/>
        </w:trPr>
        <w:tc>
          <w:tcPr>
            <w:tcW w:w="3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4.</w:t>
            </w:r>
          </w:p>
        </w:tc>
        <w:tc>
          <w:tcPr>
            <w:tcW w:w="270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Aparat posiada grupę kontrolną w COBJwDL w Łodzi reprezentowaną przez co najmniej 30 aparatów</w:t>
            </w:r>
          </w:p>
        </w:tc>
        <w:tc>
          <w:tcPr>
            <w:tcW w:w="25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r>
          </w:p>
        </w:tc>
        <w:tc>
          <w:tcPr>
            <w:tcW w:w="163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Tak - 2 pkt,</w:t>
            </w:r>
          </w:p>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Nie  - 0 pkt</w:t>
            </w:r>
          </w:p>
        </w:tc>
        <w:tc>
          <w:tcPr>
            <w:tcW w:w="1724"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r>
          </w:p>
        </w:tc>
      </w:tr>
      <w:tr>
        <w:trPr>
          <w:trHeight w:val="1" w:hRule="atLeast"/>
        </w:trPr>
        <w:tc>
          <w:tcPr>
            <w:tcW w:w="3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5.</w:t>
            </w:r>
          </w:p>
        </w:tc>
        <w:tc>
          <w:tcPr>
            <w:tcW w:w="270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Naczynka reakcyjne jednorazowego użytku i jednorazowe końcówki do pipetorów próbek i odczynników – zabezpieczenie przed błędem przeniesienia Carry over</w:t>
            </w:r>
          </w:p>
        </w:tc>
        <w:tc>
          <w:tcPr>
            <w:tcW w:w="25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r>
          </w:p>
        </w:tc>
        <w:tc>
          <w:tcPr>
            <w:tcW w:w="163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Tak - 12 pkt,</w:t>
            </w:r>
          </w:p>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Nie - 0 pkt</w:t>
            </w:r>
          </w:p>
        </w:tc>
        <w:tc>
          <w:tcPr>
            <w:tcW w:w="1724"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r>
          </w:p>
        </w:tc>
      </w:tr>
      <w:tr>
        <w:trPr>
          <w:trHeight w:val="1" w:hRule="atLeast"/>
        </w:trPr>
        <w:tc>
          <w:tcPr>
            <w:tcW w:w="3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6.</w:t>
            </w:r>
          </w:p>
        </w:tc>
        <w:tc>
          <w:tcPr>
            <w:tcW w:w="270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t>Ilość różnych testów wykonywanych równocześnie z jednej próbki badanej tj. w jednym cyklu pracy aparatu</w:t>
            </w:r>
          </w:p>
        </w:tc>
        <w:tc>
          <w:tcPr>
            <w:tcW w:w="25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rPr>
                <w:rFonts w:ascii="Calibri" w:hAnsi="Calibri" w:eastAsia="Calibri" w:cs="Calibri"/>
                <w:sz w:val="22"/>
              </w:rPr>
            </w:pPr>
            <w:r>
              <w:rPr>
                <w:rFonts w:eastAsia="Calibri" w:cs="Calibri" w:ascii="Calibri" w:hAnsi="Calibri"/>
                <w:sz w:val="22"/>
              </w:rPr>
            </w:r>
          </w:p>
        </w:tc>
        <w:tc>
          <w:tcPr>
            <w:tcW w:w="163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Największa ilość – 4pkt</w:t>
            </w:r>
          </w:p>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t>Pozostałe - 0pkt</w:t>
            </w:r>
          </w:p>
        </w:tc>
        <w:tc>
          <w:tcPr>
            <w:tcW w:w="1724"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uppressLineNumbers/>
              <w:spacing w:before="0" w:after="200"/>
              <w:jc w:val="center"/>
              <w:rPr>
                <w:rFonts w:ascii="Calibri" w:hAnsi="Calibri" w:eastAsia="Calibri" w:cs="Calibri"/>
                <w:sz w:val="22"/>
              </w:rPr>
            </w:pPr>
            <w:r>
              <w:rPr>
                <w:rFonts w:eastAsia="Calibri" w:cs="Calibri" w:ascii="Calibri" w:hAnsi="Calibri"/>
                <w:sz w:val="22"/>
              </w:rPr>
            </w:r>
          </w:p>
        </w:tc>
      </w:tr>
    </w:tbl>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Maksymalna ilość punktów: 40</w:t>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Calibri" w:hAnsi="Calibri" w:eastAsia="Calibri" w:cs="Calibri"/>
          <w:sz w:val="22"/>
        </w:rPr>
      </w:pPr>
      <w:r>
        <w:rPr>
          <w:rFonts w:eastAsia="Times New Roman" w:cs="Times New Roman" w:ascii="Times New Roman" w:hAnsi="Times New Roman"/>
          <w:b/>
          <w:sz w:val="22"/>
        </w:rPr>
        <w:t>Pakiet nr 8 – Sprzęt laboratoryjny</w:t>
      </w:r>
    </w:p>
    <w:tbl>
      <w:tblPr>
        <w:tblW w:w="8959"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65"/>
        <w:gridCol w:w="239"/>
        <w:gridCol w:w="1386"/>
        <w:gridCol w:w="992"/>
        <w:gridCol w:w="860"/>
        <w:gridCol w:w="952"/>
        <w:gridCol w:w="613"/>
        <w:gridCol w:w="1000"/>
        <w:gridCol w:w="732"/>
        <w:gridCol w:w="496"/>
        <w:gridCol w:w="751"/>
        <w:gridCol w:w="237"/>
        <w:gridCol w:w="235"/>
      </w:tblGrid>
      <w:tr>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625"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99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860"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952"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613"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00"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3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r>
              <w:rPr>
                <w:rFonts w:eastAsia="Times New Roman" w:cs="Times New Roman" w:ascii="Times New Roman" w:hAnsi="Times New Roman"/>
                <w:b/>
                <w:sz w:val="16"/>
              </w:rPr>
              <w:t xml:space="preserve"> </w:t>
            </w:r>
          </w:p>
        </w:tc>
        <w:tc>
          <w:tcPr>
            <w:tcW w:w="49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751"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c>
          <w:tcPr>
            <w:tcW w:w="23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625"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99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860"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952"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61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000"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73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49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751"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c>
          <w:tcPr>
            <w:tcW w:w="23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Probówki 10 ml PS  okrągłodenne bez kołnierza</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Probówki 5 ml PS  okrągłodenne bez kołnierza</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2 000szt.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3</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Pipetki Pasteura 3ml</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6000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4</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Końcówki do pipet (żółte) do 200µl typu Gilson</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800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5</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Końcówki do pipet (niebieskie eppendorf) do 1000 µl</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6</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Nakłuwacze hematologiczne, głębokość nakłucia 2,4mm</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6000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7</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Kapilary z heparyną litową do gazometrii o poj. min 98µl, średnica zewnętrzna 1.6 mm, długość 125mm</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500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250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8</w:t>
            </w:r>
          </w:p>
        </w:tc>
        <w:tc>
          <w:tcPr>
            <w:tcW w:w="1625" w:type="dxa"/>
            <w:gridSpan w:val="2"/>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Kapilary z heparyną sodową do gazometrii o poj. min 98µl, średnica zewnętrzna 1.6 mm, długość 125mm</w:t>
            </w:r>
          </w:p>
        </w:tc>
        <w:tc>
          <w:tcPr>
            <w:tcW w:w="99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10 000szt</w:t>
            </w:r>
          </w:p>
        </w:tc>
        <w:tc>
          <w:tcPr>
            <w:tcW w:w="8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6000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2000 szt.</w:t>
            </w:r>
          </w:p>
        </w:tc>
        <w:tc>
          <w:tcPr>
            <w:tcW w:w="100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6"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9</w:t>
            </w:r>
          </w:p>
        </w:tc>
        <w:tc>
          <w:tcPr>
            <w:tcW w:w="1625" w:type="dxa"/>
            <w:gridSpan w:val="2"/>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Magnes do mieszania krwi w kapilarze do gazometrii</w:t>
            </w:r>
          </w:p>
        </w:tc>
        <w:tc>
          <w:tcPr>
            <w:tcW w:w="99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20szt</w:t>
            </w:r>
          </w:p>
        </w:tc>
        <w:tc>
          <w:tcPr>
            <w:tcW w:w="86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6"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12 szt.</w:t>
            </w:r>
          </w:p>
        </w:tc>
        <w:tc>
          <w:tcPr>
            <w:tcW w:w="61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 szt.</w:t>
            </w:r>
          </w:p>
        </w:tc>
        <w:tc>
          <w:tcPr>
            <w:tcW w:w="1000"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6"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10</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Mieszadełka do kapilar o pojemności ok. 100µl</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1 400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840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280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11</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Zatyczki do kapilar o pojemności ok. 100µl, barwione, o srednicy min. 3mm</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800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12</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Bagietki proste o śr. 4 mm z PP</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13</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Szkiełka nakrywkowe 22x22</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1 000szt.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14</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Szkiełka podstawowe z ciętymi krawędziami gładkie</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15</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Pojemnik z PP na kał zakręcany z łopatką</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16</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Pisaki wodoodporne typu Sharpi</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70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42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14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17</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Probówki stożkowe 10 ml z PS bez znaczników 16mmx100mm</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1 500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900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300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18</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Kuwetki do koagulologii do aparatu Coag Chrom 3003</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12 000szt.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7200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19</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Szkiełka mikroskopowe podstawowe z jednostronnym polem do opisu, białe</w:t>
            </w:r>
          </w:p>
          <w:p>
            <w:pPr>
              <w:pStyle w:val="Normal"/>
              <w:widowControl w:val="false"/>
              <w:spacing w:lineRule="auto" w:line="240" w:before="0" w:after="0"/>
              <w:rPr>
                <w:sz w:val="22"/>
              </w:rPr>
            </w:pPr>
            <w:r>
              <w:rPr>
                <w:sz w:val="22"/>
              </w:rPr>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20</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Probówki typu eppendorf z PP o poj. 1,5ml z dnem stożkowym i korkiem bezbarwne z płaskim wieczkiem i podziałką oraz z polem do opisu, autoklawowalne</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3000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1800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21</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Jednorazowe płytki do oznaczania grup krwi z siedmioma wgłębieniami w szeregu</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600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360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120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22</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Próbówki do badania osadu moczu na 12 ml ze stożkiem na 0.5ml osadu moczu</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10 000szt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6000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23</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Korki do próbówek o śr 11-12mm</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2 000szt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24</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Kamery do analizy osadu moczu rozmiar 83/38mm typu Fast Read z PMMA, całkowita pojemność celki 7ul</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Na</w:t>
            </w:r>
            <w:r>
              <w:rPr>
                <w:rFonts w:eastAsia="Times New Roman" w:cs="Times New Roman" w:ascii="Times New Roman" w:hAnsi="Times New Roman"/>
                <w:b/>
                <w:color w:val="C9211E"/>
                <w:sz w:val="22"/>
              </w:rPr>
              <w:t xml:space="preserve"> </w:t>
            </w:r>
            <w:r>
              <w:rPr>
                <w:rFonts w:eastAsia="Times New Roman" w:cs="Times New Roman" w:ascii="Times New Roman" w:hAnsi="Times New Roman"/>
                <w:b/>
                <w:color w:val="000000"/>
                <w:sz w:val="22"/>
              </w:rPr>
              <w:t>4 000</w:t>
            </w:r>
            <w:r>
              <w:rPr>
                <w:rFonts w:eastAsia="Times New Roman" w:cs="Times New Roman" w:ascii="Times New Roman" w:hAnsi="Times New Roman"/>
                <w:b/>
                <w:color w:val="C9211E"/>
                <w:sz w:val="22"/>
              </w:rPr>
              <w:t xml:space="preserve"> </w:t>
            </w:r>
            <w:r>
              <w:rPr>
                <w:rFonts w:eastAsia="Times New Roman" w:cs="Times New Roman" w:ascii="Times New Roman" w:hAnsi="Times New Roman"/>
                <w:b/>
                <w:sz w:val="22"/>
              </w:rPr>
              <w:t>oznaczeń</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2400 ozn.</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800 ozn.</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25</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Pojemniki jednorazowe na DZM</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 xml:space="preserve">12 szt. </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t>26.</w:t>
            </w:r>
          </w:p>
          <w:p>
            <w:pPr>
              <w:pStyle w:val="Normal"/>
              <w:widowControl w:val="false"/>
              <w:spacing w:lineRule="auto" w:line="240" w:before="0" w:after="200"/>
              <w:jc w:val="center"/>
              <w:rPr>
                <w:sz w:val="22"/>
              </w:rPr>
            </w:pPr>
            <w:r>
              <w:rPr>
                <w:sz w:val="22"/>
              </w:rPr>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Nakłuwacze do drenów</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500szt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300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100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jc w:val="center"/>
              <w:rPr>
                <w:sz w:val="22"/>
              </w:rPr>
            </w:pPr>
            <w:r>
              <w:rPr>
                <w:rFonts w:eastAsia="Times New Roman" w:cs="Times New Roman" w:ascii="Times New Roman" w:hAnsi="Times New Roman"/>
                <w:b/>
                <w:sz w:val="22"/>
              </w:rPr>
              <w:t>27.</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Probówki typu Falcon z kołnierzem , o pojemności 45ml, max wysokość 11,5cm</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50 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30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jc w:val="center"/>
              <w:rPr>
                <w:sz w:val="22"/>
              </w:rPr>
            </w:pPr>
            <w:r>
              <w:rPr>
                <w:rFonts w:eastAsia="Times New Roman" w:cs="Times New Roman" w:ascii="Times New Roman" w:hAnsi="Times New Roman"/>
                <w:b/>
                <w:sz w:val="22"/>
              </w:rPr>
              <w:t>28.</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Pojemniki na kał z korkiem, z łyżeczką, polistyrenowe, 20 ml</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700szt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420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140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46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29.</w:t>
            </w:r>
          </w:p>
        </w:tc>
        <w:tc>
          <w:tcPr>
            <w:tcW w:w="1625"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color w:val="000000"/>
                <w:sz w:val="22"/>
              </w:rPr>
              <w:t>Końcówki do pipet o poj. 1000 - 5000ul</w:t>
            </w:r>
          </w:p>
        </w:tc>
        <w:tc>
          <w:tcPr>
            <w:tcW w:w="99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200szt</w:t>
            </w:r>
          </w:p>
        </w:tc>
        <w:tc>
          <w:tcPr>
            <w:tcW w:w="86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95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120 szt.</w:t>
            </w:r>
          </w:p>
        </w:tc>
        <w:tc>
          <w:tcPr>
            <w:tcW w:w="6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 szt.</w:t>
            </w:r>
          </w:p>
        </w:tc>
        <w:tc>
          <w:tcPr>
            <w:tcW w:w="100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32"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c>
          <w:tcPr>
            <w:tcW w:w="7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37" w:type="dxa"/>
            <w:tcBorders/>
            <w:tcMar>
              <w:left w:w="10" w:type="dxa"/>
              <w:right w:w="10" w:type="dxa"/>
            </w:tcMar>
          </w:tcPr>
          <w:p>
            <w:pPr>
              <w:pStyle w:val="Normal"/>
              <w:widowControl w:val="false"/>
              <w:spacing w:before="0" w:after="160"/>
              <w:rPr/>
            </w:pPr>
            <w:r>
              <w:rPr/>
            </w:r>
          </w:p>
        </w:tc>
        <w:tc>
          <w:tcPr>
            <w:tcW w:w="235" w:type="dxa"/>
            <w:tcBorders/>
            <w:tcMar>
              <w:left w:w="10" w:type="dxa"/>
              <w:right w:w="10" w:type="dxa"/>
            </w:tcMar>
          </w:tcPr>
          <w:p>
            <w:pPr>
              <w:pStyle w:val="Normal"/>
              <w:widowControl w:val="false"/>
              <w:spacing w:before="0" w:after="160"/>
              <w:rPr/>
            </w:pPr>
            <w:r>
              <w:rPr/>
            </w:r>
          </w:p>
        </w:tc>
      </w:tr>
      <w:tr>
        <w:trPr>
          <w:trHeight w:val="1" w:hRule="atLeast"/>
        </w:trPr>
        <w:tc>
          <w:tcPr>
            <w:tcW w:w="704"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03" w:type="dxa"/>
            <w:gridSpan w:val="6"/>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Razem</w:t>
            </w:r>
          </w:p>
        </w:tc>
        <w:tc>
          <w:tcPr>
            <w:tcW w:w="73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496" w:type="dxa"/>
            <w:tcBorders>
              <w:top w:val="single" w:sz="4" w:space="0" w:color="000000"/>
              <w:left w:val="single" w:sz="4" w:space="0" w:color="000000"/>
              <w:bottom w:val="single" w:sz="4" w:space="0" w:color="000000"/>
              <w:right w:val="single" w:sz="6" w:space="0" w:color="000000"/>
            </w:tcBorders>
            <w:shd w:color="000000" w:fill="FFFFFF" w:val="clear"/>
            <w:vAlign w:val="center"/>
          </w:tcPr>
          <w:p>
            <w:pPr>
              <w:pStyle w:val="Normal"/>
              <w:widowControl w:val="false"/>
              <w:spacing w:lineRule="auto" w:line="240" w:before="0" w:after="0"/>
              <w:rPr>
                <w:sz w:val="22"/>
              </w:rPr>
            </w:pPr>
            <w:r>
              <w:rPr>
                <w:rFonts w:eastAsia="Times New Roman" w:cs="Times New Roman" w:ascii="Times New Roman" w:hAnsi="Times New Roman"/>
                <w:b/>
                <w:sz w:val="22"/>
              </w:rPr>
              <w:t>---</w:t>
            </w:r>
          </w:p>
        </w:tc>
        <w:tc>
          <w:tcPr>
            <w:tcW w:w="988" w:type="dxa"/>
            <w:gridSpan w:val="2"/>
            <w:tcBorders>
              <w:top w:val="single" w:sz="4" w:space="0" w:color="000000"/>
              <w:left w:val="single" w:sz="4" w:space="0" w:color="000000"/>
              <w:bottom w:val="single" w:sz="4" w:space="0" w:color="000000"/>
              <w:right w:val="single" w:sz="4" w:space="0" w:color="000000"/>
            </w:tcBorders>
            <w:shd w:color="000000" w:fill="FFFFFF" w:val="clear"/>
          </w:tcPr>
          <w:tbl>
            <w:tblPr>
              <w:tblW w:w="75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50"/>
            </w:tblGrid>
            <w:tr>
              <w:trPr/>
              <w:tc>
                <w:tcPr>
                  <w:tcW w:w="7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widowControl w:val="false"/>
              <w:spacing w:lineRule="auto" w:line="240" w:before="0" w:after="0"/>
              <w:rPr>
                <w:sz w:val="22"/>
              </w:rPr>
            </w:pPr>
            <w:r>
              <w:rPr>
                <w:sz w:val="22"/>
              </w:rPr>
            </w:r>
          </w:p>
        </w:tc>
        <w:tc>
          <w:tcPr>
            <w:tcW w:w="23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bl>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Oferent zobowiązany jest dostarczyć bezpłatnie próbki każdego asortymentu określonego w formularzu cenowym (pozycja 1-24, 26-29) celem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   </w:t>
      </w:r>
      <w:r>
        <w:rPr>
          <w:rFonts w:eastAsia="Times New Roman" w:cs="Times New Roman" w:ascii="Times New Roman" w:hAnsi="Times New Roman"/>
          <w:sz w:val="22"/>
        </w:rPr>
        <w:t xml:space="preserve">weryfikacji jakości produktu. Próbki nie podlegają zwrotowi do oferenta. </w:t>
      </w:r>
    </w:p>
    <w:p>
      <w:pPr>
        <w:pStyle w:val="Normal"/>
        <w:spacing w:before="0" w:after="0"/>
        <w:rPr>
          <w:rFonts w:ascii="Calibri" w:hAnsi="Calibri" w:eastAsia="Calibri" w:cs="Calibri"/>
          <w:sz w:val="22"/>
        </w:rPr>
      </w:pPr>
      <w:r>
        <w:rPr>
          <w:rFonts w:eastAsia="Calibri" w:cs="Calibri" w:ascii="Calibri" w:hAnsi="Calibri"/>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b/>
          <w:sz w:val="22"/>
        </w:rPr>
        <w:t>Pakiet nr 9 - Barwniki</w:t>
      </w:r>
    </w:p>
    <w:tbl>
      <w:tblPr>
        <w:tblW w:w="895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51"/>
        <w:gridCol w:w="202"/>
        <w:gridCol w:w="1300"/>
        <w:gridCol w:w="948"/>
        <w:gridCol w:w="923"/>
        <w:gridCol w:w="1021"/>
        <w:gridCol w:w="948"/>
        <w:gridCol w:w="1073"/>
        <w:gridCol w:w="785"/>
        <w:gridCol w:w="521"/>
        <w:gridCol w:w="781"/>
      </w:tblGrid>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502"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94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92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1021"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948"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7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8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Netto (3x7)</w:t>
            </w:r>
          </w:p>
        </w:tc>
        <w:tc>
          <w:tcPr>
            <w:tcW w:w="521"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781"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502"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94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92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021"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94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07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78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521"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781"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Odczynnik do szybkiego barwienia rozmazów krwi (modyfikacja barwienia metodą May-Grunwalda i Giemsy) (3x500ml)</w:t>
            </w:r>
          </w:p>
          <w:p>
            <w:pPr>
              <w:pStyle w:val="Normal"/>
              <w:widowControl w:val="false"/>
              <w:spacing w:lineRule="auto" w:line="240" w:before="0" w:after="0"/>
              <w:rPr>
                <w:sz w:val="22"/>
              </w:rPr>
            </w:pPr>
            <w:r>
              <w:rPr>
                <w:rFonts w:eastAsia="Times New Roman" w:cs="Times New Roman" w:ascii="Times New Roman" w:hAnsi="Times New Roman"/>
                <w:b/>
                <w:sz w:val="22"/>
              </w:rPr>
              <w:t>Dodatkowo utrwalacz (500ml)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4 zestawy</w:t>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4 zestawy</w:t>
            </w:r>
          </w:p>
          <w:p>
            <w:pPr>
              <w:pStyle w:val="Normal"/>
              <w:widowControl w:val="false"/>
              <w:spacing w:lineRule="auto" w:line="240" w:before="0" w:after="0"/>
              <w:rPr>
                <w:sz w:val="22"/>
              </w:rPr>
            </w:pPr>
            <w:r>
              <w:rPr>
                <w:sz w:val="22"/>
              </w:rPr>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3 zestawy</w:t>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3 zestawy</w:t>
            </w:r>
          </w:p>
          <w:p>
            <w:pPr>
              <w:pStyle w:val="Normal"/>
              <w:widowControl w:val="false"/>
              <w:spacing w:lineRule="auto" w:line="240" w:before="0" w:after="0"/>
              <w:rPr>
                <w:sz w:val="22"/>
              </w:rPr>
            </w:pPr>
            <w:r>
              <w:rPr>
                <w:sz w:val="22"/>
              </w:rPr>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2 zestawy</w:t>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2 zestawy</w:t>
            </w:r>
          </w:p>
          <w:p>
            <w:pPr>
              <w:pStyle w:val="Normal"/>
              <w:widowControl w:val="false"/>
              <w:spacing w:lineRule="auto" w:line="240" w:before="0" w:after="0"/>
              <w:rPr>
                <w:sz w:val="22"/>
              </w:rPr>
            </w:pPr>
            <w:r>
              <w:rPr>
                <w:sz w:val="22"/>
              </w:rPr>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Odczynnik Nonne - Apelta</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ml</w:t>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0 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100 ml</w:t>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Odczynnik Pandy`ego</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ml</w:t>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0 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100 ml</w:t>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Odczynnik Samsona</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ml</w:t>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0 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100 ml</w:t>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Odczynnik do retikulocytów (op. 100ml)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400 ml</w:t>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240 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80 ml</w:t>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Odczynnik do liczenia płytek (op. 100ml)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 ml</w:t>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 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 ml</w:t>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Odczynnik do liczenia eozynofile (op.100ml)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 ml</w:t>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 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 ml</w:t>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150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Olejek immersyjny</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100ml</w:t>
            </w:r>
          </w:p>
        </w:tc>
        <w:tc>
          <w:tcPr>
            <w:tcW w:w="92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60 ml</w:t>
            </w:r>
          </w:p>
        </w:tc>
        <w:tc>
          <w:tcPr>
            <w:tcW w:w="94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 ml</w:t>
            </w:r>
          </w:p>
        </w:tc>
        <w:tc>
          <w:tcPr>
            <w:tcW w:w="107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653"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213" w:type="dxa"/>
            <w:gridSpan w:val="6"/>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Razem:</w:t>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sz w:val="22"/>
              </w:rPr>
            </w:r>
          </w:p>
        </w:tc>
        <w:tc>
          <w:tcPr>
            <w:tcW w:w="521"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sz w:val="22"/>
              </w:rPr>
            </w:r>
          </w:p>
        </w:tc>
      </w:tr>
    </w:tbl>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1. Barwniki do barwienia muszą być gotowe do użycia, przechowywane w szczelnie zamkniętych pojemnikach.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2. Karty charakterystyki odczynników i instrukcje metodyczne należy dostarczyć wraz z pierwszą dostawą odczynników do barwienia w wersji papierowej i języku polskim.</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3. Certyfikaty kontroli jakości odczynników w formie papierowej dostarczyć wraz z każdą dostawą odczynników do barwienia.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Wszystkie oferowane produkty w poszczególnych pakietach zgodne z Rozporządzeniem Ministra Zdrowia z dnia 17 lutego 2016 r. w sprawie wymagań zasadniczych oraz procedur oceny zgodności wyrobów medycznych </w:t>
      </w:r>
    </w:p>
    <w:p>
      <w:pPr>
        <w:pStyle w:val="Normal"/>
        <w:spacing w:before="0" w:after="0"/>
        <w:rPr>
          <w:rFonts w:ascii="Calibri" w:hAnsi="Calibri" w:eastAsia="Calibri" w:cs="Calibri"/>
          <w:sz w:val="22"/>
        </w:rPr>
      </w:pPr>
      <w:r>
        <w:rPr>
          <w:rFonts w:eastAsia="Calibri" w:cs="Calibri" w:ascii="Calibri" w:hAnsi="Calibri"/>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rPr>
        <w:t>Pakiet nr 10 – Szybkie testy diagnostyczne</w:t>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tbl>
      <w:tblPr>
        <w:tblW w:w="895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53"/>
        <w:gridCol w:w="1998"/>
        <w:gridCol w:w="742"/>
        <w:gridCol w:w="926"/>
        <w:gridCol w:w="1026"/>
        <w:gridCol w:w="636"/>
        <w:gridCol w:w="1079"/>
        <w:gridCol w:w="785"/>
        <w:gridCol w:w="522"/>
        <w:gridCol w:w="786"/>
      </w:tblGrid>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199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74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92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1026"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636"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7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8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r>
              <w:rPr>
                <w:rFonts w:eastAsia="Times New Roman" w:cs="Times New Roman" w:ascii="Times New Roman" w:hAnsi="Times New Roman"/>
                <w:b/>
                <w:sz w:val="16"/>
              </w:rPr>
              <w:t xml:space="preserve"> </w:t>
            </w:r>
          </w:p>
        </w:tc>
        <w:tc>
          <w:tcPr>
            <w:tcW w:w="52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786"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r>
      <w:tr>
        <w:trPr/>
        <w:tc>
          <w:tcPr>
            <w:tcW w:w="45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199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74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92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1026"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63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079"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78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52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786"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r>
      <w:tr>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w:t>
            </w:r>
          </w:p>
          <w:p>
            <w:pPr>
              <w:pStyle w:val="Normal"/>
              <w:widowControl w:val="false"/>
              <w:spacing w:before="0" w:after="160"/>
              <w:rPr>
                <w:rFonts w:ascii="Calibri" w:hAnsi="Calibri" w:eastAsia="Calibri" w:cs="Calibri"/>
                <w:sz w:val="22"/>
              </w:rPr>
            </w:pPr>
            <w:r>
              <w:rPr>
                <w:rFonts w:eastAsia="Calibri" w:cs="Calibri" w:ascii="Calibri" w:hAnsi="Calibri"/>
                <w:sz w:val="22"/>
              </w:rPr>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Test kasetkowy do TB (gruźlica) max. op 30 szt.</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30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2</w:t>
            </w:r>
          </w:p>
          <w:p>
            <w:pPr>
              <w:pStyle w:val="Normal"/>
              <w:widowControl w:val="false"/>
              <w:tabs>
                <w:tab w:val="clear" w:pos="708"/>
                <w:tab w:val="left" w:pos="0" w:leader="none"/>
              </w:tabs>
              <w:spacing w:lineRule="auto" w:line="240" w:before="0" w:after="0"/>
              <w:ind w:left="785" w:hanging="0"/>
              <w:rPr>
                <w:rFonts w:ascii="Calibri" w:hAnsi="Calibri" w:eastAsia="Calibri" w:cs="Calibri"/>
                <w:sz w:val="22"/>
              </w:rPr>
            </w:pPr>
            <w:r>
              <w:rPr>
                <w:rFonts w:eastAsia="Calibri" w:cs="Calibri" w:ascii="Calibri" w:hAnsi="Calibri"/>
                <w:sz w:val="22"/>
              </w:rPr>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Test Waaler-Rose  z kontrolami w zestawie (max opak. 100 ozn.)</w:t>
            </w:r>
          </w:p>
          <w:p>
            <w:pPr>
              <w:pStyle w:val="Normal"/>
              <w:widowControl w:val="false"/>
              <w:spacing w:lineRule="auto" w:line="240" w:before="0" w:after="0"/>
              <w:rPr>
                <w:sz w:val="22"/>
              </w:rPr>
            </w:pPr>
            <w:r>
              <w:rPr>
                <w:rFonts w:eastAsia="Times New Roman" w:cs="Times New Roman" w:ascii="Times New Roman" w:hAnsi="Times New Roman"/>
                <w:b/>
                <w:sz w:val="22"/>
              </w:rPr>
              <w:t>Szybki test hemaglutynacyjny. Zestaw zawiera kontrolę dodatnią i ujemną oraz patyczki. Czułość analityczna: 8 (6 - 16) IU/ml, min. objętość odczynnika 5 ml.</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150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90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30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3</w:t>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Test ASO latex  z kontrolami w zestawie (max opak. 100 ozn.)</w:t>
            </w:r>
          </w:p>
          <w:p>
            <w:pPr>
              <w:pStyle w:val="Normal"/>
              <w:widowControl w:val="false"/>
              <w:spacing w:lineRule="auto" w:line="240" w:before="0" w:after="0"/>
              <w:rPr>
                <w:sz w:val="22"/>
              </w:rPr>
            </w:pPr>
            <w:r>
              <w:rPr>
                <w:rFonts w:eastAsia="Times New Roman" w:cs="Times New Roman" w:ascii="Times New Roman" w:hAnsi="Times New Roman"/>
                <w:b/>
                <w:sz w:val="22"/>
              </w:rPr>
              <w:t>ASO test lateksowy półilościowy. Zestaw lateksowy do jakościowego i półilościowego oznaczania anty-streptolizyny O w surowicy. 100 testów. Zestaw zawiera kontrolę dodatnią i ujemną, płytki reakcyjne oraz patyczki. Czułość analityczna: 200 (± 50) IU/ml, min. objętość odczynnika 4  ml</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4</w:t>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Test RF  latex z kontrolami w zestawie (max opak. 100 ozn.)</w:t>
            </w:r>
          </w:p>
          <w:p>
            <w:pPr>
              <w:pStyle w:val="Normal"/>
              <w:widowControl w:val="false"/>
              <w:spacing w:lineRule="auto" w:line="240" w:before="0" w:after="0"/>
              <w:rPr>
                <w:sz w:val="22"/>
              </w:rPr>
            </w:pPr>
            <w:r>
              <w:rPr>
                <w:rFonts w:eastAsia="Times New Roman" w:cs="Times New Roman" w:ascii="Times New Roman" w:hAnsi="Times New Roman"/>
                <w:b/>
                <w:sz w:val="22"/>
              </w:rPr>
              <w:t>RF test lateksowy. Zestaw lateksowy do jakościowego i półilościowego oznaczania czynników reumatoidalnych w surowicy.100 testów. Zestaw zawiera kontrolę dodatnią i ujemną, płytki reakcyjne oraz patyczki.   Czułość analityczna: 8 (6 -16) IU/ml, min. objętość odczynnika 5 ml.</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200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120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40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5</w:t>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Zestaw do oznaczania. TIBC</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250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150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50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6</w:t>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Test kasetkowy dla Giardia Lamblia Ag (w kale)</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30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10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7</w:t>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Test kasetkowy do wykrywania narkotyków w moczu 10-parametrowy:</w:t>
            </w:r>
          </w:p>
          <w:p>
            <w:pPr>
              <w:pStyle w:val="Normal"/>
              <w:widowControl w:val="false"/>
              <w:spacing w:lineRule="auto" w:line="240" w:before="0" w:after="0"/>
              <w:rPr>
                <w:sz w:val="22"/>
              </w:rPr>
            </w:pPr>
            <w:r>
              <w:rPr>
                <w:rFonts w:eastAsia="Times New Roman" w:cs="Times New Roman" w:ascii="Times New Roman" w:hAnsi="Times New Roman"/>
                <w:b/>
                <w:sz w:val="22"/>
              </w:rPr>
              <w:t>(amfetamina, kokaina, opiaty, metamfetamina, marihuana, barbiturany, benzodiazepiny, metadon, ekstazy, antydepresanty)</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50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30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20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8</w:t>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Test kasetkowy do oznaczania reagin kiłowych</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25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9</w:t>
            </w:r>
          </w:p>
        </w:tc>
        <w:tc>
          <w:tcPr>
            <w:tcW w:w="19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Test ciążowy - test płytkowy o czułości 20 mIU/ml do wykrywania hormonu hCG w moczu lub surowicy</w:t>
            </w:r>
          </w:p>
        </w:tc>
        <w:tc>
          <w:tcPr>
            <w:tcW w:w="74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0 ozn</w:t>
            </w:r>
          </w:p>
        </w:tc>
        <w:tc>
          <w:tcPr>
            <w:tcW w:w="9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0 ozn</w:t>
            </w:r>
          </w:p>
        </w:tc>
        <w:tc>
          <w:tcPr>
            <w:tcW w:w="6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24 ozn</w:t>
            </w:r>
          </w:p>
        </w:tc>
        <w:tc>
          <w:tcPr>
            <w:tcW w:w="107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10</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Test kasetkowy do wykrywania Streptococcus pneumoniae w moczu</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500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300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100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11</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Test kasetkowy do wykrywania Legionella pneumophila w moczu</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400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240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  </w:t>
            </w:r>
            <w:r>
              <w:rPr>
                <w:rFonts w:eastAsia="Times New Roman" w:cs="Times New Roman" w:ascii="Times New Roman" w:hAnsi="Times New Roman"/>
                <w:b/>
                <w:color w:val="000000"/>
                <w:sz w:val="22"/>
              </w:rPr>
              <w:t>80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12</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Test kasetkowy do wykrywania COVID-19, RSV, grypy typu A i B (typu COMBO) w wymazie z nosogardzieli, nosa</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1700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1020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 </w:t>
            </w:r>
            <w:r>
              <w:rPr>
                <w:rFonts w:eastAsia="Times New Roman" w:cs="Times New Roman" w:ascii="Times New Roman" w:hAnsi="Times New Roman"/>
                <w:b/>
                <w:color w:val="000000"/>
                <w:sz w:val="22"/>
              </w:rPr>
              <w:t>340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13</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Test kasetkowy do wykrywania antygenu Covid-19, RhV, PIV, RSV, ADV, hMPV, grypy typu A i B w wymazie z nosogardzieli, nosa</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50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25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sz w:val="22"/>
              </w:rPr>
            </w:pPr>
            <w:r>
              <w:rPr>
                <w:rFonts w:eastAsia="Times New Roman" w:cs="Times New Roman" w:ascii="Times New Roman" w:hAnsi="Times New Roman"/>
                <w:b/>
                <w:color w:val="000000"/>
                <w:sz w:val="22"/>
              </w:rPr>
              <w:t xml:space="preserve">   </w:t>
            </w:r>
            <w:r>
              <w:rPr>
                <w:rFonts w:eastAsia="Times New Roman" w:cs="Times New Roman" w:ascii="Times New Roman" w:hAnsi="Times New Roman"/>
                <w:b/>
                <w:color w:val="000000"/>
                <w:sz w:val="22"/>
              </w:rPr>
              <w:t>25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14</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Test kasetkowy do wykrywania przeciwciał IgM Mycoplasma pneumoniae w surowicy</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0 </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0 </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40 ozn. </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15</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Test kasetkowy do wykrywania GDH Clostridium difficile w kale</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200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120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 </w:t>
            </w:r>
            <w:r>
              <w:rPr>
                <w:rFonts w:eastAsia="Times New Roman" w:cs="Times New Roman" w:ascii="Times New Roman" w:hAnsi="Times New Roman"/>
                <w:b/>
                <w:color w:val="000000"/>
                <w:sz w:val="22"/>
              </w:rPr>
              <w:t>40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16</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Test kasetkowy do wykrywania toxyn A i B Clostridium difficile w kale</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100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  </w:t>
            </w:r>
            <w:r>
              <w:rPr>
                <w:rFonts w:eastAsia="Times New Roman" w:cs="Times New Roman" w:ascii="Times New Roman" w:hAnsi="Times New Roman"/>
                <w:b/>
                <w:color w:val="000000"/>
                <w:sz w:val="22"/>
              </w:rPr>
              <w:t>60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 xml:space="preserve">  </w:t>
            </w:r>
            <w:r>
              <w:rPr>
                <w:rFonts w:eastAsia="Times New Roman" w:cs="Times New Roman" w:ascii="Times New Roman" w:hAnsi="Times New Roman"/>
                <w:b/>
                <w:color w:val="000000"/>
                <w:sz w:val="22"/>
              </w:rPr>
              <w:t>20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17</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b/>
                <w:color w:val="000000"/>
              </w:rPr>
              <w:t>Test kasetkowy do wykrywania HbsAg w surowicy</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b/>
                <w:color w:val="000000"/>
              </w:rPr>
              <w:t>120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b/>
                <w:color w:val="000000"/>
              </w:rPr>
              <w:t>80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b/>
                <w:color w:val="000000"/>
              </w:rPr>
              <w:t>40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18</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b/>
                <w:color w:val="000000"/>
              </w:rPr>
              <w:t>Test kasetkowy do wykrywania przeciwciał anty-HCV w surowicy</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b/>
                <w:color w:val="000000"/>
              </w:rPr>
              <w:t>120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b/>
                <w:color w:val="000000"/>
              </w:rPr>
              <w:t>80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b/>
                <w:color w:val="000000"/>
              </w:rPr>
              <w:t>40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453"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tabs>
                <w:tab w:val="clear" w:pos="708"/>
                <w:tab w:val="left" w:pos="0" w:leader="none"/>
              </w:tabs>
              <w:spacing w:lineRule="auto" w:line="240" w:before="0" w:after="0"/>
              <w:rPr>
                <w:rFonts w:ascii="Calibri" w:hAnsi="Calibri" w:eastAsia="Calibri" w:cs="Calibri"/>
                <w:sz w:val="22"/>
              </w:rPr>
            </w:pPr>
            <w:r>
              <w:rPr>
                <w:rFonts w:eastAsia="Calibri" w:cs="Calibri" w:ascii="Calibri" w:hAnsi="Calibri"/>
                <w:sz w:val="22"/>
              </w:rPr>
              <w:t>19</w:t>
            </w:r>
          </w:p>
        </w:tc>
        <w:tc>
          <w:tcPr>
            <w:tcW w:w="1998"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Test kasetkowy do wykrywania krwi utajonej w kale  (bez diety) czułość testu min 10ng/ml (max opak. 20 szt.)</w:t>
            </w:r>
          </w:p>
          <w:p>
            <w:pPr>
              <w:pStyle w:val="Normal"/>
              <w:widowControl w:val="false"/>
              <w:spacing w:lineRule="auto" w:line="240" w:before="0" w:after="0"/>
              <w:rPr>
                <w:rFonts w:ascii="Calibri" w:hAnsi="Calibri" w:eastAsia="Calibri" w:cs="Calibri"/>
                <w:color w:val="000000"/>
                <w:sz w:val="22"/>
              </w:rPr>
            </w:pPr>
            <w:r>
              <w:rPr>
                <w:rFonts w:eastAsia="Times New Roman" w:cs="Times New Roman" w:ascii="Times New Roman" w:hAnsi="Times New Roman"/>
                <w:b/>
                <w:color w:val="000000"/>
                <w:sz w:val="22"/>
              </w:rPr>
              <w:t>Szybki, test kasetkowy swoisty dla hemoglobiny ludzkiej. Nie może dawać reakcji krzyżowych z hemoglobiną zwierzęcą, bilirubiną, witaminą C i peroksydazą chrzanową. Czas odczytu do 10min</w:t>
            </w:r>
          </w:p>
          <w:p>
            <w:pPr>
              <w:pStyle w:val="Normal"/>
              <w:widowControl w:val="false"/>
              <w:spacing w:lineRule="auto" w:line="240" w:before="0" w:after="0"/>
              <w:rPr>
                <w:sz w:val="22"/>
              </w:rPr>
            </w:pPr>
            <w:r>
              <w:rPr>
                <w:rFonts w:eastAsia="Times New Roman" w:cs="Times New Roman" w:ascii="Times New Roman" w:hAnsi="Times New Roman"/>
                <w:b/>
                <w:color w:val="000000"/>
                <w:sz w:val="22"/>
              </w:rPr>
              <w:t>Zestaw zawiera kontrolę dodatnią od tego samego producenta.</w:t>
            </w:r>
          </w:p>
        </w:tc>
        <w:tc>
          <w:tcPr>
            <w:tcW w:w="74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000000"/>
                <w:sz w:val="22"/>
              </w:rPr>
              <w:t>120 ozn</w:t>
            </w:r>
          </w:p>
        </w:tc>
        <w:tc>
          <w:tcPr>
            <w:tcW w:w="9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2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b/>
                <w:color w:val="000000"/>
              </w:rPr>
              <w:t>80 ozn</w:t>
            </w:r>
          </w:p>
        </w:tc>
        <w:tc>
          <w:tcPr>
            <w:tcW w:w="636"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b/>
                <w:color w:val="000000"/>
              </w:rPr>
              <w:t>20 ozn</w:t>
            </w:r>
          </w:p>
        </w:tc>
        <w:tc>
          <w:tcPr>
            <w:tcW w:w="1079"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5"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22" w:type="dxa"/>
            <w:tcBorders>
              <w:top w:val="single" w:sz="6"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6" w:type="dxa"/>
            <w:tcBorders>
              <w:top w:val="single" w:sz="6"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color w:val="000000" w:themeColor="text1"/>
          <w:sz w:val="22"/>
        </w:rPr>
      </w:pPr>
      <w:r>
        <w:rPr>
          <w:rFonts w:eastAsia="Times New Roman" w:cs="Times New Roman" w:ascii="Times New Roman" w:hAnsi="Times New Roman"/>
          <w:color w:val="000000" w:themeColor="text1"/>
          <w:sz w:val="22"/>
        </w:rPr>
        <w:t>Składając ofertę na pakiet nr 10 do oferty należy dołączyć:</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Karty charakterystyk odczynników i instrukcje metodyczne w języku polskim w wersji papierowej – do pakietu</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Deklarację zgodności CE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Zamawiający wymaga dostarczenia do pakietu próbek testów z poz 16, 17, 18 po 1 sztuce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Oferent poda sposób konfekcjonowania, który będzie obowiązywał przez cały okres trwania umowy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Poz 19 -test immunochromatograficzny  do wykrywania krwi utajonej w kale wyklucza się testy rurkowe i lateksowe.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Testy kasetkowe zawierają wewnętrzną kontrolę poprawności wykonania testu.</w:t>
      </w:r>
    </w:p>
    <w:p>
      <w:pPr>
        <w:pStyle w:val="Normal"/>
        <w:spacing w:before="0" w:after="0"/>
        <w:ind w:left="720" w:hanging="0"/>
        <w:rPr>
          <w:rFonts w:ascii="Times New Roman" w:hAnsi="Times New Roman" w:eastAsia="Times New Roman" w:cs="Times New Roman"/>
          <w:sz w:val="22"/>
        </w:rPr>
      </w:pPr>
      <w:r>
        <w:rPr>
          <w:rFonts w:eastAsia="Times New Roman" w:cs="Times New Roman" w:ascii="Times New Roman" w:hAnsi="Times New Roman"/>
          <w:sz w:val="22"/>
        </w:rPr>
      </w:r>
    </w:p>
    <w:p>
      <w:pPr>
        <w:pStyle w:val="Normal"/>
        <w:numPr>
          <w:ilvl w:val="0"/>
          <w:numId w:val="8"/>
        </w:numPr>
        <w:tabs>
          <w:tab w:val="clear" w:pos="708"/>
          <w:tab w:val="left" w:pos="0" w:leader="none"/>
        </w:tabs>
        <w:spacing w:before="0" w:after="0"/>
        <w:ind w:left="720" w:hanging="360"/>
        <w:rPr>
          <w:rFonts w:ascii="Times New Roman" w:hAnsi="Times New Roman" w:eastAsia="Times New Roman" w:cs="Times New Roman"/>
          <w:sz w:val="22"/>
        </w:rPr>
      </w:pPr>
      <w:r>
        <w:rPr>
          <w:rFonts w:eastAsia="Times New Roman" w:cs="Times New Roman" w:ascii="Times New Roman" w:hAnsi="Times New Roman"/>
          <w:sz w:val="22"/>
        </w:rPr>
        <w:t xml:space="preserve">Testy powinny posiadać oznakowanie CE </w:t>
      </w:r>
    </w:p>
    <w:p>
      <w:pPr>
        <w:pStyle w:val="Normal"/>
        <w:numPr>
          <w:ilvl w:val="0"/>
          <w:numId w:val="8"/>
        </w:numPr>
        <w:tabs>
          <w:tab w:val="clear" w:pos="708"/>
          <w:tab w:val="left" w:pos="0" w:leader="none"/>
        </w:tabs>
        <w:spacing w:before="0" w:after="0"/>
        <w:ind w:left="720" w:hanging="360"/>
        <w:rPr>
          <w:rFonts w:ascii="Times New Roman" w:hAnsi="Times New Roman" w:eastAsia="Times New Roman" w:cs="Times New Roman"/>
          <w:sz w:val="22"/>
        </w:rPr>
      </w:pPr>
      <w:r>
        <w:rPr>
          <w:rFonts w:eastAsia="Times New Roman" w:cs="Times New Roman" w:ascii="Times New Roman" w:hAnsi="Times New Roman"/>
          <w:sz w:val="22"/>
        </w:rPr>
        <w:t>Wykonawca jest zobowiązany wskazać i wycenić w formularzu cenowym wszystkie niezbędne materiały zużywalne opisane w metodyce producenta i nie zawarte w zestawach testowych.</w:t>
      </w:r>
    </w:p>
    <w:p>
      <w:pPr>
        <w:pStyle w:val="Normal"/>
        <w:spacing w:before="0" w:after="0"/>
        <w:ind w:left="720" w:hanging="0"/>
        <w:rPr>
          <w:rFonts w:ascii="Times New Roman" w:hAnsi="Times New Roman" w:eastAsia="Times New Roman" w:cs="Times New Roman"/>
          <w:sz w:val="22"/>
        </w:rPr>
      </w:pPr>
      <w:r>
        <w:rPr>
          <w:rFonts w:eastAsia="Times New Roman" w:cs="Times New Roman" w:ascii="Times New Roman" w:hAnsi="Times New Roman"/>
          <w:sz w:val="22"/>
        </w:rPr>
        <w:t>*Przez „Liczbę oznaczeń” Zamawiający rozumie liczbę wyników badań pacjentów.</w:t>
      </w:r>
    </w:p>
    <w:p>
      <w:pPr>
        <w:pStyle w:val="Normal"/>
        <w:spacing w:before="0" w:after="0"/>
        <w:ind w:left="720" w:hanging="0"/>
        <w:rPr>
          <w:rFonts w:ascii="Times New Roman" w:hAnsi="Times New Roman" w:eastAsia="Times New Roman" w:cs="Times New Roman"/>
          <w:sz w:val="22"/>
        </w:rPr>
      </w:pPr>
      <w:r>
        <w:rPr>
          <w:rFonts w:eastAsia="Times New Roman" w:cs="Times New Roman" w:ascii="Times New Roman" w:hAnsi="Times New Roman"/>
          <w:sz w:val="22"/>
        </w:rPr>
      </w:r>
    </w:p>
    <w:tbl>
      <w:tblPr>
        <w:tblW w:w="8872" w:type="dxa"/>
        <w:jc w:val="left"/>
        <w:tblInd w:w="200" w:type="dxa"/>
        <w:tblLayout w:type="fixed"/>
        <w:tblCellMar>
          <w:top w:w="0" w:type="dxa"/>
          <w:left w:w="100" w:type="dxa"/>
          <w:bottom w:w="0" w:type="dxa"/>
          <w:right w:w="100" w:type="dxa"/>
        </w:tblCellMar>
        <w:tblLook w:firstRow="0" w:noVBand="0" w:lastRow="0" w:firstColumn="0" w:lastColumn="0" w:noHBand="0" w:val="0000"/>
      </w:tblPr>
      <w:tblGrid>
        <w:gridCol w:w="445"/>
        <w:gridCol w:w="8426"/>
      </w:tblGrid>
      <w:tr>
        <w:trPr>
          <w:trHeight w:val="1" w:hRule="atLeast"/>
        </w:trPr>
        <w:tc>
          <w:tcPr>
            <w:tcW w:w="8871" w:type="dxa"/>
            <w:gridSpan w:val="2"/>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0"/>
              <w:rPr>
                <w:sz w:val="22"/>
              </w:rPr>
            </w:pPr>
            <w:r>
              <w:rPr>
                <w:rFonts w:eastAsia="Times New Roman" w:cs="Times New Roman" w:ascii="Times New Roman" w:hAnsi="Times New Roman"/>
                <w:sz w:val="22"/>
              </w:rPr>
              <w:t xml:space="preserve">Test immunochromatograficzny do wykrywania antygenów </w:t>
            </w:r>
            <w:r>
              <w:rPr>
                <w:rFonts w:eastAsia="Times New Roman" w:cs="Times New Roman" w:ascii="Times New Roman" w:hAnsi="Times New Roman"/>
                <w:b/>
                <w:sz w:val="22"/>
              </w:rPr>
              <w:t>S.pneumoniae w moczu</w:t>
            </w:r>
          </w:p>
        </w:tc>
      </w:tr>
      <w:tr>
        <w:trPr>
          <w:trHeight w:val="1" w:hRule="atLeast"/>
        </w:trPr>
        <w:tc>
          <w:tcPr>
            <w:tcW w:w="44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0"/>
              <w:rPr>
                <w:rFonts w:ascii="Calibri" w:hAnsi="Calibri" w:eastAsia="Calibri" w:cs="Calibri"/>
                <w:sz w:val="22"/>
              </w:rPr>
            </w:pPr>
            <w:r>
              <w:rPr>
                <w:rFonts w:eastAsia="Calibri" w:cs="Calibri" w:ascii="Calibri" w:hAnsi="Calibri"/>
                <w:sz w:val="22"/>
              </w:rPr>
            </w:r>
          </w:p>
        </w:tc>
        <w:tc>
          <w:tcPr>
            <w:tcW w:w="8426"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numPr>
                <w:ilvl w:val="0"/>
                <w:numId w:val="9"/>
              </w:numPr>
              <w:tabs>
                <w:tab w:val="clear" w:pos="708"/>
                <w:tab w:val="left" w:pos="0" w:leader="none"/>
              </w:tabs>
              <w:spacing w:before="0" w:after="0"/>
              <w:ind w:left="720" w:hanging="360"/>
              <w:rPr>
                <w:rFonts w:ascii="Times New Roman" w:hAnsi="Times New Roman" w:eastAsia="Times New Roman" w:cs="Times New Roman"/>
                <w:sz w:val="22"/>
              </w:rPr>
            </w:pPr>
            <w:r>
              <w:rPr>
                <w:rFonts w:eastAsia="Times New Roman" w:cs="Times New Roman" w:ascii="Times New Roman" w:hAnsi="Times New Roman"/>
                <w:sz w:val="22"/>
              </w:rPr>
              <w:t>Test zawiera przeciwciała specyficzne dla S.pneumoniae</w:t>
            </w:r>
          </w:p>
          <w:p>
            <w:pPr>
              <w:pStyle w:val="Normal"/>
              <w:widowControl w:val="false"/>
              <w:numPr>
                <w:ilvl w:val="0"/>
                <w:numId w:val="9"/>
              </w:numPr>
              <w:tabs>
                <w:tab w:val="clear" w:pos="708"/>
                <w:tab w:val="left" w:pos="0" w:leader="none"/>
              </w:tabs>
              <w:spacing w:before="0" w:after="0"/>
              <w:ind w:left="720" w:hanging="360"/>
              <w:rPr>
                <w:sz w:val="22"/>
              </w:rPr>
            </w:pPr>
            <w:r>
              <w:rPr>
                <w:rFonts w:eastAsia="Times New Roman" w:cs="Times New Roman" w:ascii="Times New Roman" w:hAnsi="Times New Roman"/>
                <w:sz w:val="22"/>
              </w:rPr>
              <w:t>wszystkie niezbędne odczynniki zawarte są w zestawie</w:t>
            </w:r>
          </w:p>
        </w:tc>
      </w:tr>
    </w:tbl>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ind w:left="720" w:hanging="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jc w:val="center"/>
        <w:rPr>
          <w:rFonts w:ascii="Times New Roman" w:hAnsi="Times New Roman" w:eastAsia="Times New Roman" w:cs="Times New Roman"/>
          <w:b/>
          <w:b/>
          <w:sz w:val="22"/>
        </w:rPr>
      </w:pPr>
      <w:r>
        <w:rPr>
          <w:rFonts w:eastAsia="Times New Roman" w:cs="Times New Roman" w:ascii="Times New Roman" w:hAnsi="Times New Roman"/>
          <w:b/>
          <w:sz w:val="22"/>
        </w:rPr>
        <w:t>Pakiet nr 11 – Hematologia- Odczynniki do badań hematologicznych wraz z dzierżawą aparatu hematologicznego 5-Diff i wpięciem go do systemu informatycznego będącego własnością zamawiającego firmy Assecco</w:t>
      </w:r>
    </w:p>
    <w:tbl>
      <w:tblPr>
        <w:tblW w:w="895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35"/>
        <w:gridCol w:w="197"/>
        <w:gridCol w:w="1425"/>
        <w:gridCol w:w="1008"/>
        <w:gridCol w:w="872"/>
        <w:gridCol w:w="1010"/>
        <w:gridCol w:w="1008"/>
        <w:gridCol w:w="1013"/>
        <w:gridCol w:w="744"/>
        <w:gridCol w:w="498"/>
        <w:gridCol w:w="743"/>
      </w:tblGrid>
      <w:tr>
        <w:trPr/>
        <w:tc>
          <w:tcPr>
            <w:tcW w:w="43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pPr>
            <w:r>
              <w:rPr>
                <w:rFonts w:eastAsia="Times New Roman" w:cs="Times New Roman" w:ascii="Times New Roman" w:hAnsi="Times New Roman"/>
                <w:b/>
                <w:sz w:val="16"/>
              </w:rPr>
              <w:t>Lp.</w:t>
            </w:r>
          </w:p>
        </w:tc>
        <w:tc>
          <w:tcPr>
            <w:tcW w:w="1622"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pPr>
            <w:r>
              <w:rPr>
                <w:rFonts w:eastAsia="Times New Roman" w:cs="Times New Roman" w:ascii="Times New Roman" w:hAnsi="Times New Roman"/>
                <w:b/>
                <w:sz w:val="16"/>
              </w:rPr>
              <w:t>Opis przedmiotu zamówienia</w:t>
            </w:r>
          </w:p>
        </w:tc>
        <w:tc>
          <w:tcPr>
            <w:tcW w:w="100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before="0" w:after="200"/>
              <w:rPr/>
            </w:pPr>
            <w:r>
              <w:rPr/>
            </w:r>
          </w:p>
        </w:tc>
        <w:tc>
          <w:tcPr>
            <w:tcW w:w="87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pPr>
            <w:r>
              <w:rPr>
                <w:rFonts w:eastAsia="Times New Roman" w:cs="Times New Roman" w:ascii="Times New Roman" w:hAnsi="Times New Roman"/>
                <w:b/>
                <w:sz w:val="16"/>
              </w:rPr>
              <w:t>Producent</w:t>
            </w:r>
          </w:p>
        </w:tc>
        <w:tc>
          <w:tcPr>
            <w:tcW w:w="1010"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before="0" w:after="200"/>
              <w:rPr/>
            </w:pPr>
            <w:r>
              <w:rPr>
                <w:rFonts w:eastAsia="Times New Roman" w:cs="Times New Roman" w:ascii="Times New Roman" w:hAnsi="Times New Roman"/>
                <w:b/>
                <w:sz w:val="16"/>
              </w:rPr>
              <w:t>Minimalna liczba zamówienia</w:t>
            </w:r>
          </w:p>
        </w:tc>
        <w:tc>
          <w:tcPr>
            <w:tcW w:w="1008"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before="0" w:after="200"/>
              <w:rPr/>
            </w:pPr>
            <w:r>
              <w:rPr>
                <w:rFonts w:eastAsia="Times New Roman" w:cs="Times New Roman" w:ascii="Times New Roman" w:hAnsi="Times New Roman"/>
                <w:b/>
                <w:sz w:val="16"/>
              </w:rPr>
              <w:t>Opcja</w:t>
            </w:r>
          </w:p>
        </w:tc>
        <w:tc>
          <w:tcPr>
            <w:tcW w:w="101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jednostkowa</w:t>
            </w:r>
          </w:p>
          <w:p>
            <w:pPr>
              <w:pStyle w:val="Normal"/>
              <w:widowControl w:val="false"/>
              <w:spacing w:before="0" w:after="200"/>
              <w:rPr/>
            </w:pPr>
            <w:r>
              <w:rPr>
                <w:rFonts w:eastAsia="Times New Roman" w:cs="Times New Roman" w:ascii="Times New Roman" w:hAnsi="Times New Roman"/>
                <w:b/>
                <w:sz w:val="16"/>
              </w:rPr>
              <w:t xml:space="preserve">netto </w:t>
            </w:r>
            <w:r>
              <w:rPr>
                <w:rFonts w:eastAsia="Times New Roman" w:cs="Times New Roman" w:ascii="Times New Roman" w:hAnsi="Times New Roman"/>
                <w:b/>
                <w:color w:val="C9211E"/>
                <w:sz w:val="16"/>
              </w:rPr>
              <w:t>opakowania</w:t>
            </w:r>
          </w:p>
        </w:tc>
        <w:tc>
          <w:tcPr>
            <w:tcW w:w="74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before="0" w:after="20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(3x7)</w:t>
            </w:r>
            <w:r>
              <w:rPr>
                <w:rFonts w:eastAsia="Times New Roman" w:cs="Times New Roman" w:ascii="Times New Roman" w:hAnsi="Times New Roman"/>
                <w:b/>
                <w:sz w:val="16"/>
              </w:rPr>
              <w:t xml:space="preserve"> </w:t>
            </w:r>
          </w:p>
        </w:tc>
        <w:tc>
          <w:tcPr>
            <w:tcW w:w="49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before="0" w:after="200"/>
              <w:rPr/>
            </w:pPr>
            <w:r>
              <w:rPr>
                <w:rFonts w:eastAsia="Times New Roman" w:cs="Times New Roman" w:ascii="Times New Roman" w:hAnsi="Times New Roman"/>
                <w:b/>
                <w:sz w:val="16"/>
              </w:rPr>
              <w:t>VAT</w:t>
            </w:r>
          </w:p>
        </w:tc>
        <w:tc>
          <w:tcPr>
            <w:tcW w:w="743"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before="0" w:after="200"/>
              <w:rPr/>
            </w:pPr>
            <w:r>
              <w:rPr>
                <w:rFonts w:eastAsia="Times New Roman" w:cs="Times New Roman" w:ascii="Times New Roman" w:hAnsi="Times New Roman"/>
                <w:b/>
                <w:sz w:val="16"/>
              </w:rPr>
              <w:t>brutto</w:t>
            </w:r>
          </w:p>
        </w:tc>
      </w:tr>
      <w:tr>
        <w:trPr>
          <w:trHeight w:val="1" w:hRule="atLeast"/>
        </w:trPr>
        <w:tc>
          <w:tcPr>
            <w:tcW w:w="43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1</w:t>
            </w:r>
          </w:p>
        </w:tc>
        <w:tc>
          <w:tcPr>
            <w:tcW w:w="1622"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2</w:t>
            </w:r>
          </w:p>
        </w:tc>
        <w:tc>
          <w:tcPr>
            <w:tcW w:w="100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3</w:t>
            </w:r>
          </w:p>
        </w:tc>
        <w:tc>
          <w:tcPr>
            <w:tcW w:w="87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4</w:t>
            </w:r>
          </w:p>
        </w:tc>
        <w:tc>
          <w:tcPr>
            <w:tcW w:w="1010"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5</w:t>
            </w:r>
          </w:p>
        </w:tc>
        <w:tc>
          <w:tcPr>
            <w:tcW w:w="100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6</w:t>
            </w:r>
          </w:p>
        </w:tc>
        <w:tc>
          <w:tcPr>
            <w:tcW w:w="101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7</w:t>
            </w:r>
          </w:p>
        </w:tc>
        <w:tc>
          <w:tcPr>
            <w:tcW w:w="744"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8</w:t>
            </w:r>
          </w:p>
        </w:tc>
        <w:tc>
          <w:tcPr>
            <w:tcW w:w="49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9</w:t>
            </w:r>
          </w:p>
        </w:tc>
        <w:tc>
          <w:tcPr>
            <w:tcW w:w="743"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before="0" w:after="200"/>
              <w:rPr>
                <w:sz w:val="22"/>
              </w:rPr>
            </w:pPr>
            <w:r>
              <w:rPr>
                <w:rFonts w:eastAsia="Times New Roman" w:cs="Times New Roman" w:ascii="Times New Roman" w:hAnsi="Times New Roman"/>
                <w:b/>
                <w:sz w:val="22"/>
              </w:rPr>
              <w:t>10</w:t>
            </w:r>
          </w:p>
        </w:tc>
      </w:tr>
      <w:tr>
        <w:trPr>
          <w:trHeight w:val="1" w:hRule="atLeast"/>
        </w:trPr>
        <w:tc>
          <w:tcPr>
            <w:tcW w:w="43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1</w:t>
            </w:r>
          </w:p>
        </w:tc>
        <w:tc>
          <w:tcPr>
            <w:tcW w:w="162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Odczynniki hematologiczne do aparatu</w:t>
            </w:r>
          </w:p>
        </w:tc>
        <w:tc>
          <w:tcPr>
            <w:tcW w:w="100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15 000</w:t>
            </w:r>
          </w:p>
          <w:p>
            <w:pPr>
              <w:pStyle w:val="Normal"/>
              <w:widowControl w:val="false"/>
              <w:spacing w:before="0" w:after="200"/>
              <w:rPr>
                <w:sz w:val="22"/>
              </w:rPr>
            </w:pPr>
            <w:r>
              <w:rPr>
                <w:rFonts w:eastAsia="Times New Roman" w:cs="Times New Roman" w:ascii="Times New Roman" w:hAnsi="Times New Roman"/>
                <w:b/>
                <w:sz w:val="22"/>
              </w:rPr>
              <w:t>oznaczeń</w:t>
            </w:r>
          </w:p>
        </w:tc>
        <w:tc>
          <w:tcPr>
            <w:tcW w:w="87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101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9 000 oznaczeń</w:t>
            </w:r>
          </w:p>
        </w:tc>
        <w:tc>
          <w:tcPr>
            <w:tcW w:w="100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3 000 oznaczeń</w:t>
            </w:r>
          </w:p>
        </w:tc>
        <w:tc>
          <w:tcPr>
            <w:tcW w:w="10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74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4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8</w:t>
            </w:r>
          </w:p>
        </w:tc>
        <w:tc>
          <w:tcPr>
            <w:tcW w:w="7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rHeight w:val="1" w:hRule="atLeast"/>
        </w:trPr>
        <w:tc>
          <w:tcPr>
            <w:tcW w:w="43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2</w:t>
            </w:r>
          </w:p>
        </w:tc>
        <w:tc>
          <w:tcPr>
            <w:tcW w:w="162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Times New Roman" w:hAnsi="Times New Roman" w:eastAsia="Times New Roman" w:cs="Times New Roman"/>
                <w:b/>
                <w:b/>
                <w:color w:val="EE0000"/>
                <w:sz w:val="22"/>
              </w:rPr>
            </w:pPr>
            <w:r>
              <w:rPr>
                <w:rFonts w:eastAsia="Times New Roman" w:cs="Times New Roman" w:ascii="Times New Roman" w:hAnsi="Times New Roman"/>
                <w:b/>
                <w:color w:val="EE0000"/>
                <w:sz w:val="22"/>
              </w:rPr>
              <w:t xml:space="preserve">Materiały eksploatacyjne - miesięczny ryczałt </w:t>
            </w:r>
          </w:p>
          <w:p>
            <w:pPr>
              <w:pStyle w:val="Normal"/>
              <w:widowControl w:val="false"/>
              <w:spacing w:before="0" w:after="200"/>
              <w:rPr>
                <w:rFonts w:ascii="Times New Roman" w:hAnsi="Times New Roman" w:eastAsia="Times New Roman" w:cs="Times New Roman"/>
                <w:b/>
                <w:b/>
                <w:color w:val="EE0000"/>
                <w:sz w:val="22"/>
              </w:rPr>
            </w:pPr>
            <w:r>
              <w:rPr>
                <w:rFonts w:eastAsia="Times New Roman" w:cs="Times New Roman" w:ascii="Times New Roman" w:hAnsi="Times New Roman"/>
                <w:b/>
                <w:color w:val="EE0000"/>
                <w:sz w:val="22"/>
              </w:rPr>
              <w:t>-</w:t>
            </w:r>
          </w:p>
          <w:p>
            <w:pPr>
              <w:pStyle w:val="Normal"/>
              <w:widowControl w:val="false"/>
              <w:spacing w:before="0" w:after="200"/>
              <w:rPr>
                <w:color w:val="EE0000"/>
                <w:sz w:val="22"/>
              </w:rPr>
            </w:pPr>
            <w:r>
              <w:rPr>
                <w:color w:val="EE0000"/>
                <w:sz w:val="22"/>
              </w:rPr>
            </w:r>
          </w:p>
        </w:tc>
        <w:tc>
          <w:tcPr>
            <w:tcW w:w="100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color w:val="EE0000"/>
                <w:sz w:val="22"/>
              </w:rPr>
            </w:pPr>
            <w:r>
              <w:rPr>
                <w:rFonts w:eastAsia="Times New Roman" w:cs="Times New Roman" w:ascii="Times New Roman" w:hAnsi="Times New Roman"/>
                <w:b/>
                <w:color w:val="EE0000"/>
                <w:sz w:val="22"/>
              </w:rPr>
              <w:t>24 miesiące</w:t>
            </w:r>
          </w:p>
        </w:tc>
        <w:tc>
          <w:tcPr>
            <w:tcW w:w="87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1010" w:type="dxa"/>
            <w:tcBorders>
              <w:top w:val="single" w:sz="4" w:space="0" w:color="000000"/>
              <w:left w:val="single" w:sz="4" w:space="0" w:color="000000"/>
              <w:bottom w:val="single" w:sz="4" w:space="0" w:color="000000"/>
              <w:right w:val="single" w:sz="4" w:space="0" w:color="000000"/>
            </w:tcBorders>
            <w:shd w:color="auto" w:fill="000000"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1008" w:type="dxa"/>
            <w:tcBorders>
              <w:top w:val="single" w:sz="4" w:space="0" w:color="000000"/>
              <w:left w:val="single" w:sz="4" w:space="0" w:color="000000"/>
              <w:bottom w:val="single" w:sz="4" w:space="0" w:color="000000"/>
              <w:right w:val="single" w:sz="6" w:space="0" w:color="000000"/>
            </w:tcBorders>
            <w:shd w:color="auto" w:fill="000000"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1013" w:type="dxa"/>
            <w:tcBorders>
              <w:top w:val="single" w:sz="4" w:space="0" w:color="000000"/>
              <w:left w:val="single" w:sz="4" w:space="0" w:color="000000"/>
              <w:bottom w:val="single" w:sz="4" w:space="0" w:color="000000"/>
              <w:right w:val="single" w:sz="6" w:space="0" w:color="000000"/>
            </w:tcBorders>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744" w:type="dxa"/>
            <w:tcBorders>
              <w:top w:val="single" w:sz="4" w:space="0" w:color="000000"/>
              <w:left w:val="single" w:sz="4" w:space="0" w:color="000000"/>
              <w:bottom w:val="single" w:sz="4" w:space="0" w:color="000000"/>
              <w:right w:val="single" w:sz="6" w:space="0" w:color="000000"/>
            </w:tcBorders>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498" w:type="dxa"/>
            <w:tcBorders>
              <w:top w:val="single" w:sz="4" w:space="0" w:color="000000"/>
              <w:left w:val="single" w:sz="4" w:space="0" w:color="000000"/>
              <w:bottom w:val="single" w:sz="4" w:space="0" w:color="000000"/>
              <w:right w:val="single" w:sz="6" w:space="0" w:color="000000"/>
            </w:tcBorders>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rHeight w:val="1" w:hRule="atLeast"/>
        </w:trPr>
        <w:tc>
          <w:tcPr>
            <w:tcW w:w="43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3</w:t>
            </w:r>
          </w:p>
        </w:tc>
        <w:tc>
          <w:tcPr>
            <w:tcW w:w="162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Dzierżawa analizatora</w:t>
            </w:r>
          </w:p>
        </w:tc>
        <w:tc>
          <w:tcPr>
            <w:tcW w:w="100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24 miesiące</w:t>
            </w:r>
          </w:p>
        </w:tc>
        <w:tc>
          <w:tcPr>
            <w:tcW w:w="87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1010" w:type="dxa"/>
            <w:tcBorders>
              <w:top w:val="single" w:sz="4" w:space="0" w:color="000000"/>
              <w:left w:val="single" w:sz="4" w:space="0" w:color="000000"/>
              <w:bottom w:val="single" w:sz="4" w:space="0" w:color="000000"/>
              <w:right w:val="single" w:sz="4" w:space="0" w:color="000000"/>
            </w:tcBorders>
            <w:shd w:color="auto" w:fill="000000"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1008" w:type="dxa"/>
            <w:tcBorders>
              <w:top w:val="single" w:sz="4" w:space="0" w:color="000000"/>
              <w:left w:val="single" w:sz="4" w:space="0" w:color="000000"/>
              <w:bottom w:val="single" w:sz="4" w:space="0" w:color="000000"/>
              <w:right w:val="single" w:sz="6" w:space="0" w:color="000000"/>
            </w:tcBorders>
            <w:shd w:color="auto" w:fill="000000"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101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74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4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8</w:t>
            </w:r>
          </w:p>
        </w:tc>
        <w:tc>
          <w:tcPr>
            <w:tcW w:w="7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r>
        <w:trPr>
          <w:trHeight w:val="1" w:hRule="atLeast"/>
        </w:trPr>
        <w:tc>
          <w:tcPr>
            <w:tcW w:w="632"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6336" w:type="dxa"/>
            <w:gridSpan w:val="6"/>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Razem:</w:t>
            </w:r>
          </w:p>
        </w:tc>
        <w:tc>
          <w:tcPr>
            <w:tcW w:w="744"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c>
          <w:tcPr>
            <w:tcW w:w="49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before="0" w:after="200"/>
              <w:rPr>
                <w:sz w:val="22"/>
              </w:rPr>
            </w:pPr>
            <w:r>
              <w:rPr>
                <w:rFonts w:eastAsia="Times New Roman" w:cs="Times New Roman" w:ascii="Times New Roman" w:hAnsi="Times New Roman"/>
                <w:b/>
                <w:sz w:val="22"/>
              </w:rPr>
              <w:t>8</w:t>
            </w:r>
          </w:p>
        </w:tc>
        <w:tc>
          <w:tcPr>
            <w:tcW w:w="7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before="0" w:after="200"/>
              <w:rPr>
                <w:rFonts w:ascii="Calibri" w:hAnsi="Calibri" w:eastAsia="Calibri" w:cs="Calibri"/>
                <w:sz w:val="22"/>
              </w:rPr>
            </w:pPr>
            <w:r>
              <w:rPr>
                <w:rFonts w:eastAsia="Calibri" w:cs="Calibri" w:ascii="Calibri" w:hAnsi="Calibri"/>
                <w:sz w:val="22"/>
              </w:rPr>
            </w:r>
          </w:p>
        </w:tc>
      </w:tr>
    </w:tbl>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 xml:space="preserve">Ilości materiałów kontrolnych i materiałów zużywalnych, płynów myjących będą podlegały weryfikacji pod względem zgodności danych wpisanych do załączników z informacjami zawartymi w dołączonych firmowych opisach testów, monografii o testach oraz firmowych instrukcjach obsługi producenta analizatorów. </w:t>
      </w:r>
    </w:p>
    <w:tbl>
      <w:tblPr>
        <w:tblpPr w:vertAnchor="text" w:horzAnchor="margin" w:tblpXSpec="center" w:leftFromText="180" w:rightFromText="180" w:tblpY="820"/>
        <w:tblW w:w="807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62"/>
        <w:gridCol w:w="2409"/>
        <w:gridCol w:w="2553"/>
        <w:gridCol w:w="2550"/>
      </w:tblGrid>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Lp.</w:t>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Opis przedmiotu zamówienia</w:t>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color w:val="92D050"/>
              </w:rPr>
            </w:pPr>
            <w:r>
              <w:rPr>
                <w:color w:val="92D050"/>
              </w:rPr>
              <w:t>Nazwa/nr katalogowy</w:t>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92D050"/>
                <w:sz w:val="22"/>
              </w:rPr>
            </w:pPr>
            <w:r>
              <w:rPr>
                <w:color w:val="92D050"/>
              </w:rPr>
              <w:t>Liczba niezbędna do pracy analizatora przez 24 miesiące</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1</w:t>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Times New Roman" w:cs="Times New Roman" w:ascii="Times New Roman" w:hAnsi="Times New Roman"/>
                <w:b/>
                <w:sz w:val="22"/>
              </w:rPr>
              <w:t>Kalibratory  ilość zgodnie z zaleceniami producenta – jeżeli są wymagane</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8074" w:type="dxa"/>
            <w:gridSpan w:val="4"/>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2   Materiał kontrolny (krew kontrolna poziomu N i L i H – zestaw) do aparatów 5-diff zabezpieczający czas trwania umowy przy wykonywaniu 3 poziomów 5x w tygodniu. Zestaw zawiera po jednej fiolce z każdego poziomu krwi kontrolnej</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3</w:t>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Times New Roman" w:cs="Times New Roman" w:ascii="Times New Roman" w:hAnsi="Times New Roman"/>
                <w:b/>
                <w:sz w:val="22"/>
              </w:rPr>
              <w:t>Materiały eksploatacyjne w ilości zabezpieczającej czas trwania umowy – jeżeli są wymagane</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bl>
    <w:p>
      <w:pPr>
        <w:pStyle w:val="Normal"/>
        <w:spacing w:before="0" w:after="200"/>
        <w:rPr>
          <w:rFonts w:ascii="Times New Roman" w:hAnsi="Times New Roman" w:eastAsia="Times New Roman" w:cs="Times New Roman"/>
          <w:strike/>
          <w:color w:val="EE0000"/>
          <w:sz w:val="22"/>
        </w:rPr>
      </w:pPr>
      <w:r>
        <w:rPr>
          <w:rFonts w:eastAsia="Times New Roman" w:cs="Times New Roman" w:ascii="Times New Roman" w:hAnsi="Times New Roman"/>
          <w:strike/>
          <w:color w:val="EE0000"/>
          <w:sz w:val="22"/>
        </w:rPr>
      </w:r>
    </w:p>
    <w:p>
      <w:pPr>
        <w:pStyle w:val="Normal"/>
        <w:spacing w:before="0" w:after="200"/>
        <w:rPr>
          <w:rFonts w:ascii="Times New Roman" w:hAnsi="Times New Roman" w:eastAsia="Times New Roman" w:cs="Times New Roman"/>
          <w:color w:val="EE0000"/>
          <w:sz w:val="22"/>
        </w:rPr>
      </w:pPr>
      <w:r>
        <w:rPr>
          <w:rFonts w:eastAsia="Times New Roman" w:cs="Times New Roman" w:ascii="Times New Roman" w:hAnsi="Times New Roman"/>
          <w:color w:val="EE0000"/>
          <w:sz w:val="22"/>
        </w:rPr>
      </w:r>
    </w:p>
    <w:p>
      <w:pPr>
        <w:pStyle w:val="Normal"/>
        <w:spacing w:before="0" w:after="200"/>
        <w:rPr>
          <w:rFonts w:ascii="Times New Roman" w:hAnsi="Times New Roman" w:eastAsia="Times New Roman" w:cs="Times New Roman"/>
          <w:color w:val="EE0000"/>
          <w:sz w:val="22"/>
        </w:rPr>
      </w:pPr>
      <w:r>
        <w:rPr>
          <w:rFonts w:eastAsia="Times New Roman" w:cs="Times New Roman" w:ascii="Times New Roman" w:hAnsi="Times New Roman"/>
          <w:color w:val="EE0000"/>
          <w:sz w:val="22"/>
        </w:rPr>
        <w:t>W tabeli należy wpisać wszystkie niezbędne materiały eksploatacyjnie wraz z przewidywaną niezbędną liczbą materiałów w okresie 24 miesięcy. Na podstawie powyższych informacji należy wyliczyć miesięczny ryczałt oraz wpisać do tabeli w pozycji 2.</w:t>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Arial" w:hAnsi="Arial" w:eastAsia="Arial" w:cs="Arial"/>
          <w:sz w:val="22"/>
        </w:rPr>
      </w:pPr>
      <w:r>
        <w:rPr>
          <w:rFonts w:eastAsia="Times New Roman" w:cs="Times New Roman" w:ascii="Times New Roman" w:hAnsi="Times New Roman"/>
          <w:b/>
          <w:color w:val="000000"/>
          <w:sz w:val="22"/>
        </w:rPr>
        <w:t>Ocena pożądanych parametrów technicznych i analitycznych dla analizatora hematologicznego</w:t>
      </w:r>
      <w:r>
        <w:rPr>
          <w:rFonts w:eastAsia="Arial" w:cs="Arial" w:ascii="Arial" w:hAnsi="Arial"/>
          <w:color w:val="000000"/>
          <w:sz w:val="22"/>
        </w:rPr>
        <w:t xml:space="preserve"> </w:t>
      </w:r>
      <w:r>
        <w:rPr>
          <w:rFonts w:eastAsia="Arial" w:cs="Arial" w:ascii="Arial" w:hAnsi="Arial"/>
          <w:sz w:val="22"/>
        </w:rPr>
        <w:t xml:space="preserve"> </w:t>
      </w:r>
    </w:p>
    <w:p>
      <w:pPr>
        <w:pStyle w:val="Normal"/>
        <w:spacing w:before="0" w:after="0"/>
        <w:rPr>
          <w:rFonts w:ascii="Arial" w:hAnsi="Arial" w:eastAsia="Arial" w:cs="Arial"/>
          <w:sz w:val="22"/>
        </w:rPr>
      </w:pPr>
      <w:r>
        <w:rPr>
          <w:rFonts w:eastAsia="Arial" w:cs="Arial" w:ascii="Arial" w:hAnsi="Arial"/>
          <w:sz w:val="22"/>
        </w:rPr>
      </w:r>
    </w:p>
    <w:p>
      <w:pPr>
        <w:pStyle w:val="Normal"/>
        <w:spacing w:lineRule="auto" w:line="240" w:before="0" w:after="0"/>
        <w:rPr>
          <w:rFonts w:ascii="Times New Roman" w:hAnsi="Times New Roman" w:eastAsia="Times New Roman" w:cs="Times New Roman"/>
          <w:sz w:val="22"/>
        </w:rPr>
      </w:pPr>
      <w:r>
        <w:rPr>
          <w:rFonts w:eastAsia="Calibri" w:cs="Calibri" w:ascii="Calibri" w:hAnsi="Calibri"/>
          <w:sz w:val="22"/>
        </w:rPr>
        <w:t> </w:t>
      </w:r>
      <w:r>
        <w:rPr>
          <w:rFonts w:eastAsia="Times New Roman" w:cs="Times New Roman" w:ascii="Times New Roman" w:hAnsi="Times New Roman"/>
          <w:sz w:val="22"/>
        </w:rPr>
        <w:t xml:space="preserve">Analizator nowy lub nie starszy niż 2021 rok po pełnym przeglądzie technicznym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Analizator z automatycznym podajnikiem na min 30 próbek, z czytnikiem kodów kreskowych, z możliwością pracy z probówkami systemu zamkniętego, bez potrzeby otwierania probówek. </w:t>
      </w:r>
      <w:r>
        <w:rPr>
          <w:rFonts w:eastAsia="Times New Roman" w:cs="Times New Roman" w:ascii="Times New Roman" w:hAnsi="Times New Roman"/>
          <w:color w:val="000000"/>
          <w:sz w:val="22"/>
        </w:rPr>
        <w:t>Możliwość podawania próbki manualnie (system otwarty)/ mikrometoda.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Bezpłatna gwarancja na analizator obejmująca cały okres trwania umowy - uwzględniająca koszty napraw, wymiany podzespołów, okresowych przeglądów serwisowych oraz wszystkich części i akcesoriów nieuwzględnionych w formularzu oferty.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Dokument- deklaracja zgodności CE z wymogami UE.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Analizator w pełni automatyczny pracujący w trybie pacjent po pacjencie.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Analizator minimum 24 parametrowy dla trybu CBC+WBC – 5 DIFF.</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Bezcyjankowe odczynniki – udokumentowane kartami charakterystyki (nie zawierające cyjanków nawet w minimalnej ilości).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Wydajność 60 oznaczeń / godzinę.</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Możliwość wczytywania zakresów wartości referencyjnych krwi kontrolnej za pomocą pamięci przenośnej oraz identyfikacja krwi kontrolnej za pomocą kodu kresowego</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Automatyczny rozdział, różnicowanie WBC na 5 populacji z wykorzystaniem cytometrii przepływowej w oparciu o światło lasera półprzewodnikowego.</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Identyfikowanie próbek za pomocą kodów kreskowych.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Dowolność trybu oznaczania dla każdej próbki (CBC lub CBC+ DIFF). Tryb CBC powinien zużywać mniej odczynnika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Możliwość oceny niedojrzałych granulocytów jako odrębnej populacji wyrażonej w wartościach bezwzględnych i procentach.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Możliwość oceny cytogramu erytrocytów za pomocą RDW-SD i RDW-CV.</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Mała objętość próbki do analizy do 30 μl krwi pełnej;</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Flagowanie wyników patologicznych wraz z komunikatami opisującymi typowe patologie oraz informacja o stopniu zaawansowania patologii.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Włączenie analizatora do systemu informatycznego laboratorium LIS Assecco  na koszt Dostawcy.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Dwukierunkowa komunikacja analizatora z systemem informatycznym LIS</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Oprogramowanie KJ obejmujące system L-J, umożliwiające rejestrację codziennej KJ na trzech poziomach.</w:t>
      </w:r>
    </w:p>
    <w:p>
      <w:pPr>
        <w:pStyle w:val="Normal"/>
        <w:spacing w:before="0" w:after="0"/>
        <w:rPr>
          <w:rFonts w:ascii="Calibri" w:hAnsi="Calibri" w:eastAsia="Calibri" w:cs="Calibri"/>
          <w:sz w:val="22"/>
        </w:rPr>
      </w:pPr>
      <w:r>
        <w:rPr>
          <w:rFonts w:eastAsia="Times New Roman" w:cs="Times New Roman" w:ascii="Times New Roman" w:hAnsi="Times New Roman"/>
          <w:sz w:val="22"/>
        </w:rPr>
        <w:t>Materiał kontrolny dedykowany dla aparatu zawarty w ofercie.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Wraz z materiałem kontrolnym Wykonawca zapewni dostęp do niezależnego od producenta i dystrybutora odczynników programu do kontroli wewnątrz i zewnątrzlaboratoryjnej Standlab</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Numer telefonu do Serwisu 24h, obsługi handlowej i merytorycznej znajduje się w umowie.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Wykonawca zapewnia bezpłatne naprawy i przegląd min. 1x do roku (chyba, że producent analizatora zaleca częściej – wtedy zgodnie z zaleceniami producenta) wraz z częściami zamiennymi.</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Karty charakterystyk odczynników, instrukcje metodyczne w języku polskim oraz pełna instrukcja obsługi wydrukowane i zbindowane – wraz z pierwszą dostawą odczynników.</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color w:val="000000"/>
          <w:sz w:val="22"/>
        </w:rPr>
        <w:t>Zasilacz awaryjny stanowiący wyposażenie analizatora umożliwiający podtrzymanie pracy w przypadku zaniku napięcia sieci i umożliwiający bezpieczne zamknięcie trwającego cyklu pracy oraz przywrócenie systemu do pracy po wznowieniu dostawy energii elektrycznej</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 xml:space="preserve">Instalacja, uruchomienie analizatora oraz szkolenie personelu laboratorium w zakresie obsługi i interpretacji wyników na koszt wykonawcy. </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Aktualizacja szkoleń personelu zakładu – poprzez udział pracowników zakładu w szkoleniach organizowanych przez firmę dostawczą.</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Calibri" w:hAnsi="Calibri" w:eastAsia="Calibri" w:cs="Calibri"/>
          <w:sz w:val="22"/>
        </w:rPr>
      </w:pPr>
      <w:r>
        <w:rPr>
          <w:rFonts w:eastAsia="Calibri" w:cs="Calibri" w:ascii="Calibri" w:hAnsi="Calibri"/>
          <w:sz w:val="22"/>
        </w:rPr>
      </w:r>
    </w:p>
    <w:p>
      <w:pPr>
        <w:pStyle w:val="Normal"/>
        <w:spacing w:before="0" w:after="0"/>
        <w:rPr>
          <w:rFonts w:ascii="Calibri" w:hAnsi="Calibri" w:eastAsia="Calibri" w:cs="Calibri"/>
          <w:sz w:val="22"/>
        </w:rPr>
      </w:pPr>
      <w:r>
        <w:rPr>
          <w:rFonts w:eastAsia="Calibri" w:cs="Calibri" w:ascii="Calibri" w:hAnsi="Calibri"/>
          <w:sz w:val="22"/>
        </w:rPr>
      </w:r>
    </w:p>
    <w:p>
      <w:pPr>
        <w:pStyle w:val="Normal"/>
        <w:spacing w:before="0" w:after="0"/>
        <w:jc w:val="center"/>
        <w:rPr>
          <w:rFonts w:ascii="Times New Roman" w:hAnsi="Times New Roman" w:eastAsia="Times New Roman" w:cs="Times New Roman"/>
          <w:b/>
          <w:b/>
          <w:sz w:val="22"/>
        </w:rPr>
      </w:pPr>
      <w:r>
        <w:rPr>
          <w:rFonts w:eastAsia="Times New Roman" w:cs="Times New Roman" w:ascii="Times New Roman" w:hAnsi="Times New Roman"/>
          <w:b/>
          <w:sz w:val="22"/>
        </w:rPr>
        <w:t>Ocena pożądanych parametrów technicznych i analitycznych dla analizatora – parametry funkcjonalne</w:t>
      </w:r>
      <w:r>
        <w:rPr>
          <w:rFonts w:eastAsia="Calibri" w:cs="Calibri" w:ascii="Calibri" w:hAnsi="Calibri"/>
          <w:sz w:val="22"/>
        </w:rPr>
        <w:br/>
      </w:r>
    </w:p>
    <w:tbl>
      <w:tblPr>
        <w:tblW w:w="895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766"/>
        <w:gridCol w:w="3700"/>
        <w:gridCol w:w="2436"/>
        <w:gridCol w:w="2047"/>
      </w:tblGrid>
      <w:tr>
        <w:trPr>
          <w:trHeight w:val="1" w:hRule="atLeast"/>
        </w:trPr>
        <w:tc>
          <w:tcPr>
            <w:tcW w:w="76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L.p.</w:t>
            </w:r>
          </w:p>
        </w:tc>
        <w:tc>
          <w:tcPr>
            <w:tcW w:w="3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b/>
                <w:color w:val="000000"/>
              </w:rPr>
              <w:t>Parametr podlegający ocenie</w:t>
            </w:r>
          </w:p>
        </w:tc>
        <w:tc>
          <w:tcPr>
            <w:tcW w:w="24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b/>
                <w:color w:val="000000"/>
              </w:rPr>
              <w:t>Zakres punktacji</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b/>
                <w:color w:val="000000"/>
              </w:rPr>
              <w:t>Liczba przyznanych punktów</w:t>
            </w:r>
          </w:p>
        </w:tc>
      </w:tr>
      <w:tr>
        <w:trPr>
          <w:trHeight w:val="1" w:hRule="atLeast"/>
        </w:trPr>
        <w:tc>
          <w:tcPr>
            <w:tcW w:w="76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1.</w:t>
            </w:r>
          </w:p>
        </w:tc>
        <w:tc>
          <w:tcPr>
            <w:tcW w:w="3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Materiał kontrolny (krew kontrolna) konfekcjonowana w fiolkach o pojemności minimum 2,5 ml</w:t>
            </w:r>
          </w:p>
        </w:tc>
        <w:tc>
          <w:tcPr>
            <w:tcW w:w="24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Times New Roman" w:cs="Times New Roman" w:ascii="Times New Roman" w:hAnsi="Times New Roman"/>
                <w:color w:val="000000"/>
              </w:rPr>
              <w:t>największa objętość– 8 pkt</w:t>
            </w:r>
          </w:p>
          <w:p>
            <w:pPr>
              <w:pStyle w:val="Normal"/>
              <w:widowControl w:val="false"/>
              <w:spacing w:lineRule="auto" w:line="240" w:before="0" w:after="0"/>
              <w:jc w:val="center"/>
              <w:rPr/>
            </w:pPr>
            <w:r>
              <w:rPr>
                <w:rFonts w:eastAsia="Times New Roman" w:cs="Times New Roman" w:ascii="Times New Roman" w:hAnsi="Times New Roman"/>
                <w:color w:val="000000"/>
              </w:rPr>
              <w:t>pozostałe – 0 pkt</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br/>
            </w:r>
          </w:p>
        </w:tc>
      </w:tr>
      <w:tr>
        <w:trPr>
          <w:trHeight w:val="1" w:hRule="atLeast"/>
        </w:trPr>
        <w:tc>
          <w:tcPr>
            <w:tcW w:w="76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2.</w:t>
            </w:r>
          </w:p>
        </w:tc>
        <w:tc>
          <w:tcPr>
            <w:tcW w:w="3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Możliwość oznaczenia w (ze wstępnym rozcieńczeniem) w trybie CBC – 5 DIFF</w:t>
            </w:r>
          </w:p>
        </w:tc>
        <w:tc>
          <w:tcPr>
            <w:tcW w:w="24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Times New Roman" w:cs="Times New Roman" w:ascii="Times New Roman" w:hAnsi="Times New Roman"/>
                <w:color w:val="000000"/>
              </w:rPr>
              <w:t>tak – 8 pkt</w:t>
            </w:r>
          </w:p>
          <w:p>
            <w:pPr>
              <w:pStyle w:val="Normal"/>
              <w:widowControl w:val="false"/>
              <w:spacing w:lineRule="auto" w:line="240" w:before="0" w:after="0"/>
              <w:jc w:val="center"/>
              <w:rPr/>
            </w:pPr>
            <w:r>
              <w:rPr>
                <w:rFonts w:eastAsia="Times New Roman" w:cs="Times New Roman" w:ascii="Times New Roman" w:hAnsi="Times New Roman"/>
                <w:color w:val="000000"/>
              </w:rPr>
              <w:t>nie – 0 pkt</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br/>
            </w:r>
          </w:p>
        </w:tc>
      </w:tr>
      <w:tr>
        <w:trPr/>
        <w:tc>
          <w:tcPr>
            <w:tcW w:w="76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3.</w:t>
            </w:r>
          </w:p>
        </w:tc>
        <w:tc>
          <w:tcPr>
            <w:tcW w:w="3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both"/>
              <w:rPr>
                <w:sz w:val="22"/>
              </w:rPr>
            </w:pPr>
            <w:r>
              <w:rPr>
                <w:rFonts w:eastAsia="Times New Roman" w:cs="Times New Roman" w:ascii="Times New Roman" w:hAnsi="Times New Roman"/>
                <w:color w:val="000000"/>
                <w:sz w:val="22"/>
              </w:rPr>
              <w:t>Podać objętość aspirowanej próbki</w:t>
            </w:r>
          </w:p>
        </w:tc>
        <w:tc>
          <w:tcPr>
            <w:tcW w:w="24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Times New Roman" w:cs="Times New Roman" w:ascii="Times New Roman" w:hAnsi="Times New Roman"/>
                <w:color w:val="000000"/>
              </w:rPr>
              <w:t>najmniejsza- 8pkt</w:t>
            </w:r>
          </w:p>
          <w:p>
            <w:pPr>
              <w:pStyle w:val="Normal"/>
              <w:widowControl w:val="false"/>
              <w:spacing w:lineRule="auto" w:line="240" w:before="0" w:after="0"/>
              <w:jc w:val="center"/>
              <w:rPr/>
            </w:pPr>
            <w:r>
              <w:rPr>
                <w:rFonts w:eastAsia="Times New Roman" w:cs="Times New Roman" w:ascii="Times New Roman" w:hAnsi="Times New Roman"/>
                <w:color w:val="000000"/>
              </w:rPr>
              <w:t>pozostałe – 0 pkt</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br/>
            </w:r>
          </w:p>
        </w:tc>
      </w:tr>
      <w:tr>
        <w:trPr>
          <w:trHeight w:val="1" w:hRule="atLeast"/>
        </w:trPr>
        <w:tc>
          <w:tcPr>
            <w:tcW w:w="76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4.</w:t>
            </w:r>
          </w:p>
        </w:tc>
        <w:tc>
          <w:tcPr>
            <w:tcW w:w="3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Możliwość automatycznego usuwania skrzepu. Podać opis poparty danymi z instrukcji obsługi analizatora.</w:t>
            </w:r>
          </w:p>
        </w:tc>
        <w:tc>
          <w:tcPr>
            <w:tcW w:w="24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Times New Roman" w:cs="Times New Roman" w:ascii="Times New Roman" w:hAnsi="Times New Roman"/>
                <w:color w:val="000000"/>
              </w:rPr>
              <w:t>Tak– 8 pkt</w:t>
            </w:r>
          </w:p>
          <w:p>
            <w:pPr>
              <w:pStyle w:val="Normal"/>
              <w:widowControl w:val="false"/>
              <w:spacing w:lineRule="auto" w:line="240" w:before="0" w:after="0"/>
              <w:jc w:val="center"/>
              <w:rPr/>
            </w:pPr>
            <w:r>
              <w:rPr>
                <w:rFonts w:eastAsia="Times New Roman" w:cs="Times New Roman" w:ascii="Times New Roman" w:hAnsi="Times New Roman"/>
                <w:color w:val="000000"/>
              </w:rPr>
              <w:t>nie – 0  pkt</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br/>
            </w:r>
          </w:p>
        </w:tc>
      </w:tr>
      <w:tr>
        <w:trPr>
          <w:trHeight w:val="1" w:hRule="atLeast"/>
        </w:trPr>
        <w:tc>
          <w:tcPr>
            <w:tcW w:w="76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5.</w:t>
            </w:r>
          </w:p>
        </w:tc>
        <w:tc>
          <w:tcPr>
            <w:tcW w:w="3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pPr>
            <w:r>
              <w:rPr>
                <w:rFonts w:eastAsia="Times New Roman" w:cs="Times New Roman" w:ascii="Times New Roman" w:hAnsi="Times New Roman"/>
                <w:color w:val="000000"/>
              </w:rPr>
              <w:t>Wiek analizatora</w:t>
            </w:r>
          </w:p>
        </w:tc>
        <w:tc>
          <w:tcPr>
            <w:tcW w:w="243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nowszy – 8pkt</w:t>
            </w:r>
          </w:p>
          <w:p>
            <w:pPr>
              <w:pStyle w:val="Normal"/>
              <w:widowControl w:val="false"/>
              <w:spacing w:lineRule="auto" w:line="240" w:before="0" w:after="0"/>
              <w:jc w:val="center"/>
              <w:rPr/>
            </w:pPr>
            <w:r>
              <w:rPr>
                <w:rFonts w:eastAsia="Times New Roman" w:cs="Times New Roman" w:ascii="Times New Roman" w:hAnsi="Times New Roman"/>
                <w:color w:val="000000"/>
              </w:rPr>
              <w:t>Starszy 0 pkt</w:t>
            </w:r>
          </w:p>
        </w:tc>
        <w:tc>
          <w:tcPr>
            <w:tcW w:w="204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ascii="Calibri" w:hAnsi="Calibri" w:eastAsia="Calibri" w:cs="Calibri"/>
                <w:sz w:val="22"/>
              </w:rPr>
            </w:pPr>
            <w:r>
              <w:rPr>
                <w:rFonts w:eastAsia="Calibri" w:cs="Calibri" w:ascii="Calibri" w:hAnsi="Calibri"/>
                <w:sz w:val="22"/>
              </w:rPr>
            </w:r>
          </w:p>
        </w:tc>
      </w:tr>
      <w:tr>
        <w:trPr>
          <w:trHeight w:val="1" w:hRule="atLeast"/>
        </w:trPr>
        <w:tc>
          <w:tcPr>
            <w:tcW w:w="76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br/>
            </w:r>
          </w:p>
        </w:tc>
        <w:tc>
          <w:tcPr>
            <w:tcW w:w="8183" w:type="dxa"/>
            <w:gridSpan w:val="3"/>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b/>
                <w:color w:val="000000"/>
              </w:rPr>
              <w:t>MAKSYMALNA ILOŚĆ PUNKTÓW - 40</w:t>
            </w:r>
          </w:p>
        </w:tc>
      </w:tr>
    </w:tbl>
    <w:p>
      <w:pPr>
        <w:pStyle w:val="Normal"/>
        <w:tabs>
          <w:tab w:val="clear" w:pos="708"/>
          <w:tab w:val="left" w:pos="543" w:leader="none"/>
          <w:tab w:val="left" w:pos="31532" w:leader="none"/>
          <w:tab w:val="left" w:pos="31660" w:leader="none"/>
        </w:tabs>
        <w:spacing w:before="0" w:after="200"/>
        <w:rPr>
          <w:rFonts w:ascii="Calibri" w:hAnsi="Calibri" w:eastAsia="Calibri" w:cs="Calibri"/>
          <w:sz w:val="22"/>
        </w:rPr>
      </w:pPr>
      <w:r>
        <w:rPr>
          <w:rFonts w:eastAsia="Calibri" w:cs="Calibri" w:ascii="Calibri" w:hAnsi="Calibri"/>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Wymogi instalacyjne oraz dotyczące pracy analizatora, które muszą być spełnione przez użytkownika, aby zapewnić prawidłową pracę analizatora – podaje dostawca ze wskazaniem, co ma spełnić użytkownik.</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1.  Wykaz stosowanych odczynników</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2.   Karty charakterystyk odczynników</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3.   Warunki przechowywania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4.   Trwałość odczynników</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5.   Warunki utylizacji pozostałości odczynników</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6.   Inne informacje ważne dla użytkownika</w:t>
      </w:r>
    </w:p>
    <w:p>
      <w:pPr>
        <w:pStyle w:val="Normal"/>
        <w:spacing w:before="0" w:after="0"/>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t>7. W przypadku, gdy wymagana kalibracja, przeprowadzenie kalibracji oraz koszt kalibratorów po stronie Wykonawcy.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b/>
          <w:sz w:val="22"/>
        </w:rPr>
        <w:t>Pakiet nr 12 - Testy paskowe do moczu</w:t>
      </w:r>
    </w:p>
    <w:tbl>
      <w:tblPr>
        <w:tblW w:w="895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36"/>
        <w:gridCol w:w="770"/>
        <w:gridCol w:w="1586"/>
        <w:gridCol w:w="706"/>
        <w:gridCol w:w="875"/>
        <w:gridCol w:w="968"/>
        <w:gridCol w:w="603"/>
        <w:gridCol w:w="1018"/>
        <w:gridCol w:w="745"/>
        <w:gridCol w:w="502"/>
        <w:gridCol w:w="744"/>
      </w:tblGrid>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Lp.</w:t>
            </w:r>
          </w:p>
        </w:tc>
        <w:tc>
          <w:tcPr>
            <w:tcW w:w="2356"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Opis przedmiotu zamówienia</w:t>
            </w:r>
          </w:p>
        </w:tc>
        <w:tc>
          <w:tcPr>
            <w:tcW w:w="70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Żądana</w:t>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ilość</w:t>
            </w:r>
          </w:p>
          <w:p>
            <w:pPr>
              <w:pStyle w:val="Normal"/>
              <w:widowControl w:val="false"/>
              <w:spacing w:lineRule="auto" w:line="240" w:before="0" w:after="0"/>
              <w:rPr/>
            </w:pPr>
            <w:r>
              <w:rPr/>
            </w:r>
          </w:p>
        </w:tc>
        <w:tc>
          <w:tcPr>
            <w:tcW w:w="87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Producent</w:t>
            </w:r>
          </w:p>
        </w:tc>
        <w:tc>
          <w:tcPr>
            <w:tcW w:w="968"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603" w:type="dxa"/>
            <w:tcBorders>
              <w:top w:val="single" w:sz="4" w:space="0" w:color="000001"/>
              <w:left w:val="single" w:sz="4" w:space="0" w:color="000001"/>
              <w:bottom w:val="single" w:sz="4" w:space="0" w:color="000001"/>
              <w:right w:val="single" w:sz="6" w:space="0" w:color="000000"/>
            </w:tcBorders>
            <w:shd w:color="auto" w:fill="E6E6E6" w:val="clear"/>
          </w:tcPr>
          <w:p>
            <w:pPr>
              <w:pStyle w:val="Normal"/>
              <w:widowControl w:val="false"/>
              <w:spacing w:lineRule="auto" w:line="240" w:before="0" w:after="0"/>
              <w:rPr/>
            </w:pPr>
            <w:r>
              <w:rPr>
                <w:rFonts w:eastAsia="Times New Roman" w:cs="Times New Roman" w:ascii="Times New Roman" w:hAnsi="Times New Roman"/>
                <w:b/>
                <w:sz w:val="16"/>
              </w:rPr>
              <w:t>Opcja</w:t>
            </w:r>
          </w:p>
        </w:tc>
        <w:tc>
          <w:tcPr>
            <w:tcW w:w="101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Cena</w:t>
            </w:r>
          </w:p>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 xml:space="preserve">jednostkowa netto </w:t>
            </w:r>
            <w:r>
              <w:rPr>
                <w:rFonts w:eastAsia="Times New Roman" w:cs="Times New Roman" w:ascii="Times New Roman" w:hAnsi="Times New Roman"/>
                <w:b/>
                <w:color w:val="C9211E"/>
                <w:sz w:val="16"/>
              </w:rPr>
              <w:t>opakowania</w:t>
            </w:r>
          </w:p>
        </w:tc>
        <w:tc>
          <w:tcPr>
            <w:tcW w:w="74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before="0" w:after="20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 xml:space="preserve">netto </w:t>
            </w:r>
            <w:r>
              <w:rPr>
                <w:rFonts w:eastAsia="Times New Roman" w:cs="Times New Roman" w:ascii="Times New Roman" w:hAnsi="Times New Roman"/>
                <w:b/>
                <w:strike/>
                <w:color w:val="C9211E"/>
                <w:sz w:val="16"/>
              </w:rPr>
              <w:t xml:space="preserve">(3x7) </w:t>
            </w:r>
          </w:p>
        </w:tc>
        <w:tc>
          <w:tcPr>
            <w:tcW w:w="50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t>
            </w:r>
          </w:p>
          <w:p>
            <w:pPr>
              <w:pStyle w:val="Normal"/>
              <w:widowControl w:val="false"/>
              <w:spacing w:lineRule="auto" w:line="240" w:before="0" w:after="0"/>
              <w:rPr/>
            </w:pPr>
            <w:r>
              <w:rPr>
                <w:rFonts w:eastAsia="Times New Roman" w:cs="Times New Roman" w:ascii="Times New Roman" w:hAnsi="Times New Roman"/>
                <w:b/>
                <w:sz w:val="16"/>
              </w:rPr>
              <w:t>VAT</w:t>
            </w:r>
          </w:p>
        </w:tc>
        <w:tc>
          <w:tcPr>
            <w:tcW w:w="744"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Wartość</w:t>
            </w:r>
          </w:p>
          <w:p>
            <w:pPr>
              <w:pStyle w:val="Normal"/>
              <w:widowControl w:val="false"/>
              <w:spacing w:lineRule="auto" w:line="240" w:before="0" w:after="0"/>
              <w:rPr/>
            </w:pPr>
            <w:r>
              <w:rPr>
                <w:rFonts w:eastAsia="Times New Roman" w:cs="Times New Roman" w:ascii="Times New Roman" w:hAnsi="Times New Roman"/>
                <w:b/>
                <w:sz w:val="16"/>
              </w:rPr>
              <w:t>brutto</w:t>
            </w:r>
          </w:p>
        </w:tc>
      </w:tr>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2356" w:type="dxa"/>
            <w:gridSpan w:val="2"/>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706"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3</w:t>
            </w:r>
          </w:p>
        </w:tc>
        <w:tc>
          <w:tcPr>
            <w:tcW w:w="87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4</w:t>
            </w:r>
          </w:p>
        </w:tc>
        <w:tc>
          <w:tcPr>
            <w:tcW w:w="968"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5</w:t>
            </w:r>
          </w:p>
        </w:tc>
        <w:tc>
          <w:tcPr>
            <w:tcW w:w="603"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6</w:t>
            </w:r>
          </w:p>
        </w:tc>
        <w:tc>
          <w:tcPr>
            <w:tcW w:w="1018"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7</w:t>
            </w:r>
          </w:p>
        </w:tc>
        <w:tc>
          <w:tcPr>
            <w:tcW w:w="745"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502" w:type="dxa"/>
            <w:tcBorders>
              <w:top w:val="single" w:sz="4" w:space="0" w:color="000000"/>
              <w:left w:val="single" w:sz="4" w:space="0" w:color="000000"/>
              <w:bottom w:val="single" w:sz="4" w:space="0" w:color="000000"/>
              <w:right w:val="single" w:sz="6"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9</w:t>
            </w:r>
          </w:p>
        </w:tc>
        <w:tc>
          <w:tcPr>
            <w:tcW w:w="744" w:type="dxa"/>
            <w:tcBorders>
              <w:top w:val="single" w:sz="4" w:space="0" w:color="000000"/>
              <w:left w:val="single" w:sz="4" w:space="0" w:color="000000"/>
              <w:bottom w:val="single" w:sz="4" w:space="0" w:color="000000"/>
              <w:right w:val="single" w:sz="4" w:space="0" w:color="000000"/>
            </w:tcBorders>
            <w:shd w:color="auto" w:fill="E6E6E6" w:val="clear"/>
          </w:tcPr>
          <w:p>
            <w:pPr>
              <w:pStyle w:val="Normal"/>
              <w:widowControl w:val="false"/>
              <w:spacing w:lineRule="auto" w:line="240" w:before="0" w:after="0"/>
              <w:rPr>
                <w:sz w:val="22"/>
              </w:rPr>
            </w:pPr>
            <w:r>
              <w:rPr>
                <w:rFonts w:eastAsia="Times New Roman" w:cs="Times New Roman" w:ascii="Times New Roman" w:hAnsi="Times New Roman"/>
                <w:b/>
                <w:sz w:val="22"/>
              </w:rPr>
              <w:t>10</w:t>
            </w:r>
          </w:p>
        </w:tc>
      </w:tr>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1</w:t>
            </w:r>
          </w:p>
        </w:tc>
        <w:tc>
          <w:tcPr>
            <w:tcW w:w="2356"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Testy paskowe do moczu (10 ÷ 11 parametrów)</w:t>
            </w:r>
          </w:p>
          <w:p>
            <w:pPr>
              <w:pStyle w:val="Normal"/>
              <w:widowControl w:val="false"/>
              <w:spacing w:lineRule="auto" w:line="240" w:before="0" w:after="0"/>
              <w:rPr>
                <w:sz w:val="22"/>
              </w:rPr>
            </w:pPr>
            <w:r>
              <w:rPr>
                <w:sz w:val="22"/>
              </w:rPr>
            </w:r>
          </w:p>
        </w:tc>
        <w:tc>
          <w:tcPr>
            <w:tcW w:w="70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4000 ozn.</w:t>
            </w:r>
          </w:p>
        </w:tc>
        <w:tc>
          <w:tcPr>
            <w:tcW w:w="87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2400 ozn.</w:t>
            </w:r>
          </w:p>
        </w:tc>
        <w:tc>
          <w:tcPr>
            <w:tcW w:w="603"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 xml:space="preserve">  </w:t>
            </w:r>
            <w:r>
              <w:rPr>
                <w:rFonts w:eastAsia="Times New Roman" w:cs="Times New Roman" w:ascii="Times New Roman" w:hAnsi="Times New Roman"/>
                <w:b/>
                <w:sz w:val="22"/>
              </w:rPr>
              <w:t>800 ozn.</w:t>
            </w:r>
          </w:p>
        </w:tc>
        <w:tc>
          <w:tcPr>
            <w:tcW w:w="1018"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sz w:val="22"/>
              </w:rPr>
            </w:r>
          </w:p>
        </w:tc>
        <w:tc>
          <w:tcPr>
            <w:tcW w:w="50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8</w:t>
            </w:r>
          </w:p>
        </w:tc>
        <w:tc>
          <w:tcPr>
            <w:tcW w:w="74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sz w:val="22"/>
              </w:rPr>
            </w:r>
          </w:p>
        </w:tc>
      </w:tr>
      <w:tr>
        <w:trPr>
          <w:trHeight w:val="1" w:hRule="atLeast"/>
        </w:trPr>
        <w:tc>
          <w:tcPr>
            <w:tcW w:w="43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2</w:t>
            </w:r>
          </w:p>
        </w:tc>
        <w:tc>
          <w:tcPr>
            <w:tcW w:w="2356"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color w:val="EE0000"/>
                <w:sz w:val="22"/>
              </w:rPr>
              <w:t>Materiały do przeprowadzenia kontroli wewnątrzlaboratoryjnej kompatybilne z czytnikiem i paskami na min. 2 poziomach (każdy poziom 3x w tygodniu) – miesięczny ryczałt</w:t>
            </w:r>
          </w:p>
        </w:tc>
        <w:tc>
          <w:tcPr>
            <w:tcW w:w="706"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 miesiące</w:t>
            </w:r>
          </w:p>
        </w:tc>
        <w:tc>
          <w:tcPr>
            <w:tcW w:w="87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968" w:type="dxa"/>
            <w:tcBorders>
              <w:top w:val="single" w:sz="4" w:space="0" w:color="000000"/>
              <w:left w:val="single" w:sz="4" w:space="0" w:color="000000"/>
              <w:bottom w:val="single" w:sz="4" w:space="0" w:color="000000"/>
              <w:right w:val="single" w:sz="4"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03" w:type="dxa"/>
            <w:tcBorders>
              <w:top w:val="single" w:sz="4" w:space="0" w:color="000000"/>
              <w:left w:val="single" w:sz="4" w:space="0" w:color="000000"/>
              <w:bottom w:val="single" w:sz="4" w:space="0" w:color="000000"/>
              <w:right w:val="single" w:sz="6"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018"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0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1206" w:type="dxa"/>
            <w:gridSpan w:val="2"/>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756" w:type="dxa"/>
            <w:gridSpan w:val="6"/>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Razem:</w:t>
            </w:r>
          </w:p>
        </w:tc>
        <w:tc>
          <w:tcPr>
            <w:tcW w:w="745"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sz w:val="22"/>
              </w:rPr>
            </w:r>
          </w:p>
        </w:tc>
        <w:tc>
          <w:tcPr>
            <w:tcW w:w="50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sz w:val="22"/>
              </w:rPr>
            </w:pPr>
            <w:r>
              <w:rPr>
                <w:rFonts w:eastAsia="Times New Roman" w:cs="Times New Roman" w:ascii="Times New Roman" w:hAnsi="Times New Roman"/>
                <w:b/>
                <w:sz w:val="22"/>
              </w:rPr>
              <w:t>---</w:t>
            </w:r>
          </w:p>
        </w:tc>
        <w:tc>
          <w:tcPr>
            <w:tcW w:w="74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20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r>
    </w:p>
    <w:tbl>
      <w:tblPr>
        <w:tblpPr w:vertAnchor="text" w:horzAnchor="margin" w:tblpXSpec="center" w:leftFromText="180" w:rightFromText="180" w:tblpY="820"/>
        <w:tblW w:w="807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62"/>
        <w:gridCol w:w="2409"/>
        <w:gridCol w:w="2553"/>
        <w:gridCol w:w="2550"/>
      </w:tblGrid>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Lp.</w:t>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Materiały do przeprowadzenia kontroli wewnątrzlaboratoryjnej kompatybilne z czytnikiem i paskami na min. 2 poziomach (każdy poziom 3x w tygodniu)</w:t>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color w:val="92D050"/>
              </w:rPr>
            </w:pPr>
            <w:r>
              <w:rPr>
                <w:color w:val="92D050"/>
              </w:rPr>
              <w:t>Nazwa/nr katalogowy</w:t>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92D050"/>
                <w:sz w:val="22"/>
              </w:rPr>
            </w:pPr>
            <w:r>
              <w:rPr>
                <w:color w:val="92D050"/>
              </w:rPr>
              <w:t>Liczba niezbędna do pracy przez 24 miesiące</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color w:val="EE0000"/>
          <w:sz w:val="22"/>
        </w:rPr>
      </w:pPr>
      <w:r>
        <w:rPr>
          <w:rFonts w:eastAsia="Times New Roman" w:cs="Times New Roman" w:ascii="Times New Roman" w:hAnsi="Times New Roman"/>
          <w:color w:val="EE0000"/>
          <w:sz w:val="22"/>
        </w:rPr>
        <w:t>W tabeli należy wpisać wszystkie niezbędne materiały w okresie 24 miesięcy. Na podstawie powyższych informacji należy wyliczyć miesięczny ryczałt oraz wpisać do tabeli w pozycji 2.</w:t>
      </w:r>
    </w:p>
    <w:p>
      <w:pPr>
        <w:pStyle w:val="Normal"/>
        <w:spacing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rPr>
        <w:t>UWAGA.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b/>
          <w:sz w:val="22"/>
        </w:rPr>
        <w:t xml:space="preserve">Składając ofertę na pakiet nr </w:t>
      </w:r>
      <w:r>
        <w:rPr>
          <w:rFonts w:eastAsia="Times New Roman" w:cs="Times New Roman" w:ascii="Times New Roman" w:hAnsi="Times New Roman"/>
          <w:b/>
          <w:color w:val="EE0000"/>
          <w:sz w:val="22"/>
        </w:rPr>
        <w:t>12</w:t>
      </w:r>
      <w:r>
        <w:rPr>
          <w:rFonts w:eastAsia="Times New Roman" w:cs="Times New Roman" w:ascii="Times New Roman" w:hAnsi="Times New Roman"/>
          <w:b/>
          <w:sz w:val="22"/>
        </w:rPr>
        <w:t xml:space="preserve"> należy przy pierwszej dostawie pasków dostarczyć nieodpłatnie do siedziby Zamawiającego czytnik do pasków wraz z oprogramowaniem (wliczony w cenę testów paskowych).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Podstawą przekazania będzie protokół zdawczo-odbiorczy spisany i podpisany przez obie strony w dniu dostawy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Wymagania dodatkowe.</w:t>
      </w:r>
    </w:p>
    <w:p>
      <w:pPr>
        <w:pStyle w:val="Normal"/>
        <w:spacing w:before="0" w:after="0"/>
        <w:rPr>
          <w:rFonts w:ascii="Calibri" w:hAnsi="Calibri" w:eastAsia="Calibri" w:cs="Calibri"/>
          <w:color w:val="000000"/>
          <w:sz w:val="22"/>
        </w:rPr>
      </w:pPr>
      <w:r>
        <w:rPr>
          <w:rFonts w:eastAsia="Times New Roman" w:cs="Times New Roman" w:ascii="Times New Roman" w:hAnsi="Times New Roman"/>
          <w:color w:val="000000"/>
          <w:sz w:val="22"/>
        </w:rPr>
        <w:t>Czytnik fabrycznie nowy lub po przeglądzie technicznym nie starszy niż z 2024 roku wykonujący min. 600 ozn/h. W przypadku awarii Wykonawca zapewnia serwis czytnika do 48h.</w:t>
      </w:r>
    </w:p>
    <w:p>
      <w:pPr>
        <w:pStyle w:val="Normal"/>
        <w:spacing w:before="0" w:after="0"/>
        <w:rPr>
          <w:rFonts w:ascii="Calibri" w:hAnsi="Calibri" w:eastAsia="Calibri" w:cs="Calibri"/>
          <w:color w:val="000000"/>
          <w:sz w:val="22"/>
        </w:rPr>
      </w:pPr>
      <w:r>
        <w:rPr>
          <w:rFonts w:eastAsia="Times New Roman" w:cs="Times New Roman" w:ascii="Times New Roman" w:hAnsi="Times New Roman"/>
          <w:color w:val="000000"/>
          <w:sz w:val="22"/>
        </w:rPr>
        <w:t>Wykonawca zapewnia bezpłatny serwis i przegląd roczny oraz zapewnia na swój koszt części wymienne.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Możliwość wydruku w wybranych jednostkach (SI, konwencjonalne, system plusowy)</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Automatyczna kalibracja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Flagowanie wyników patologicznych.</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Kompensacja własnego zabarwienia moczu (dodatkowe pole kompensacyjne na pasku).</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Automatyczne usuwanie zużytych pasków.</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Praca z wykorzystaniem pasków charakteryzujących się eliminacją wpływu kwasu askorbinowego na wynik pomiaru.</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Stanowisko komputerowe (komputer, monitor LCD i drukarka) z możliwością wpięcia aparatu do funkcjonującego w laboratorium systemu informatycznego InfoMedica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tbl>
      <w:tblPr>
        <w:tblW w:w="8957" w:type="dxa"/>
        <w:jc w:val="left"/>
        <w:tblInd w:w="115" w:type="dxa"/>
        <w:tblLayout w:type="fixed"/>
        <w:tblCellMar>
          <w:top w:w="0" w:type="dxa"/>
          <w:left w:w="100" w:type="dxa"/>
          <w:bottom w:w="0" w:type="dxa"/>
          <w:right w:w="100" w:type="dxa"/>
        </w:tblCellMar>
        <w:tblLook w:firstRow="0" w:noVBand="0" w:lastRow="0" w:firstColumn="0" w:lastColumn="0" w:noHBand="0" w:val="0000"/>
      </w:tblPr>
      <w:tblGrid>
        <w:gridCol w:w="8957"/>
      </w:tblGrid>
      <w:tr>
        <w:trPr>
          <w:trHeight w:val="1" w:hRule="atLeast"/>
        </w:trPr>
        <w:tc>
          <w:tcPr>
            <w:tcW w:w="895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before="0" w:after="0"/>
              <w:rPr>
                <w:sz w:val="22"/>
              </w:rPr>
            </w:pPr>
            <w:r>
              <w:rPr>
                <w:rFonts w:eastAsia="Times New Roman" w:cs="Times New Roman" w:ascii="Times New Roman" w:hAnsi="Times New Roman"/>
                <w:sz w:val="22"/>
              </w:rPr>
              <w:t>Wymagana jest integracja dostarczonego aparatu w zakresie przesyłania list roboczych (zleceń) z systemu InfoMedica firmy Asseco SA do aparatu oraz odsyłania wyników badań z aparatu do systemu InfoMedica firmy Asseco SA. Wszelkie koszty zakupu wymaganych licencji po stronie Infomedica oraz po stronie aparatu ponosi Wykonawca, jak również koszty wdrożenia w/w integracji.</w:t>
            </w:r>
          </w:p>
        </w:tc>
      </w:tr>
    </w:tbl>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0"/>
        <w:rPr>
          <w:rFonts w:ascii="Times New Roman" w:hAnsi="Times New Roman" w:eastAsia="Times New Roman" w:cs="Times New Roman"/>
          <w:color w:val="000000"/>
          <w:sz w:val="22"/>
          <w:u w:val="single"/>
        </w:rPr>
      </w:pPr>
      <w:r>
        <w:rPr>
          <w:rFonts w:eastAsia="Times New Roman" w:cs="Times New Roman" w:ascii="Times New Roman" w:hAnsi="Times New Roman"/>
          <w:color w:val="000000"/>
          <w:sz w:val="22"/>
          <w:u w:val="single"/>
        </w:rPr>
        <w:t>Materiały do przeprowadzenia kontroli zewnątrzlaboratoryjnej z certyfikatem kompatybilne z czytnikiem i paskami na minimum 1x rocznie dającej certyfikat uczestnictwa</w:t>
      </w:r>
    </w:p>
    <w:p>
      <w:pPr>
        <w:pStyle w:val="Normal"/>
        <w:spacing w:before="0" w:after="0"/>
        <w:rPr>
          <w:rFonts w:ascii="Calibri" w:hAnsi="Calibri" w:eastAsia="Calibri" w:cs="Calibri"/>
          <w:color w:val="000000"/>
          <w:sz w:val="22"/>
        </w:rPr>
      </w:pPr>
      <w:r>
        <w:rPr>
          <w:rFonts w:eastAsia="Times New Roman" w:cs="Times New Roman" w:ascii="Times New Roman" w:hAnsi="Times New Roman"/>
          <w:color w:val="000000"/>
          <w:sz w:val="22"/>
        </w:rPr>
        <w:t>Oferent zobowiązuje się do dostarczenia nieodpłatnie  dostępu do niezależnego od producenta materiałów uczestnictwa w programach zewnętrznej kontroli jakości badań Standlab</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Czytnik i paski pochodzące od jednego producenta. Materiał kontrolny pochodzący od producenta czytnika i pasków, zamawiający dopuszcza materiał kontrolny od innego producenta, zalecanego przez producenta czytnika.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Certyfikaty i Deklaracje CE dla czytnika.</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t>Instrukcja obsługi czytnika w j. polskim dostarczona wraz z aparatem</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spacing w:before="0" w:after="200"/>
        <w:rPr>
          <w:rFonts w:ascii="Times New Roman" w:hAnsi="Times New Roman" w:eastAsia="Times New Roman" w:cs="Times New Roman"/>
          <w:b/>
          <w:b/>
          <w:sz w:val="22"/>
        </w:rPr>
      </w:pPr>
      <w:r>
        <w:rPr>
          <w:rFonts w:eastAsia="Times New Roman" w:cs="Times New Roman" w:ascii="Times New Roman" w:hAnsi="Times New Roman"/>
          <w:b/>
          <w:sz w:val="22"/>
        </w:rPr>
        <w:t>Pakiet nr 13 - Biochemia wraz z dzierżawą analizatora biochemicznego</w:t>
      </w:r>
    </w:p>
    <w:tbl>
      <w:tblPr>
        <w:tblW w:w="895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70"/>
        <w:gridCol w:w="1735"/>
        <w:gridCol w:w="736"/>
        <w:gridCol w:w="745"/>
        <w:gridCol w:w="507"/>
        <w:gridCol w:w="676"/>
        <w:gridCol w:w="763"/>
        <w:gridCol w:w="683"/>
        <w:gridCol w:w="781"/>
        <w:gridCol w:w="783"/>
        <w:gridCol w:w="586"/>
        <w:gridCol w:w="588"/>
      </w:tblGrid>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Lp.</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Opis przedmiotu zamówienia</w:t>
            </w:r>
          </w:p>
          <w:p>
            <w:pPr>
              <w:pStyle w:val="Normal"/>
              <w:widowControl w:val="false"/>
              <w:spacing w:lineRule="auto" w:line="240" w:before="0" w:after="0"/>
              <w:rPr/>
            </w:pPr>
            <w:r>
              <w:rPr/>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Ilość badań w skali 24 miesięcy</w:t>
            </w:r>
          </w:p>
        </w:tc>
        <w:tc>
          <w:tcPr>
            <w:tcW w:w="745" w:type="dxa"/>
            <w:tcBorders>
              <w:top w:val="single" w:sz="4" w:space="0" w:color="000001"/>
              <w:left w:val="single" w:sz="4" w:space="0" w:color="000001"/>
              <w:bottom w:val="single" w:sz="4" w:space="0" w:color="000001"/>
              <w:right w:val="single" w:sz="4" w:space="0" w:color="000001"/>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pPr>
            <w:r>
              <w:rPr>
                <w:rFonts w:eastAsia="Times New Roman" w:cs="Times New Roman" w:ascii="Times New Roman" w:hAnsi="Times New Roman"/>
                <w:b/>
                <w:sz w:val="16"/>
              </w:rPr>
              <w:t>Minimalna liczba zamówienia</w:t>
            </w:r>
          </w:p>
        </w:tc>
        <w:tc>
          <w:tcPr>
            <w:tcW w:w="507" w:type="dxa"/>
            <w:tcBorders>
              <w:top w:val="single" w:sz="4" w:space="0" w:color="000001"/>
              <w:left w:val="single" w:sz="4" w:space="0" w:color="000001"/>
              <w:bottom w:val="single" w:sz="4" w:space="0" w:color="000001"/>
              <w:right w:val="single" w:sz="4" w:space="0" w:color="000000"/>
            </w:tcBorders>
            <w:shd w:color="auto" w:fill="E6E6E6" w:val="clear"/>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r>
          </w:p>
          <w:p>
            <w:pPr>
              <w:pStyle w:val="Normal"/>
              <w:widowControl w:val="false"/>
              <w:spacing w:lineRule="auto" w:line="240" w:before="0" w:after="0"/>
              <w:rPr/>
            </w:pPr>
            <w:r>
              <w:rPr>
                <w:rFonts w:eastAsia="Times New Roman" w:cs="Times New Roman" w:ascii="Times New Roman" w:hAnsi="Times New Roman"/>
                <w:b/>
                <w:sz w:val="16"/>
              </w:rPr>
              <w:t>Opcja</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Ilość opakowań ( a )</w:t>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Ilość testów w opakowaniu ( b )</w:t>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Wyliczona liczba testów</w:t>
            </w:r>
          </w:p>
          <w:p>
            <w:pPr>
              <w:pStyle w:val="Normal"/>
              <w:widowControl w:val="false"/>
              <w:spacing w:lineRule="auto" w:line="240" w:before="0" w:after="0"/>
              <w:rPr/>
            </w:pPr>
            <w:r>
              <w:rPr>
                <w:rFonts w:eastAsia="Times New Roman" w:cs="Times New Roman" w:ascii="Times New Roman" w:hAnsi="Times New Roman"/>
                <w:b/>
                <w:sz w:val="16"/>
              </w:rPr>
              <w:t>( axb )</w:t>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Times New Roman" w:hAnsi="Times New Roman" w:eastAsia="Times New Roman" w:cs="Times New Roman"/>
                <w:b/>
                <w:b/>
                <w:sz w:val="16"/>
              </w:rPr>
            </w:pPr>
            <w:r>
              <w:rPr>
                <w:rFonts w:eastAsia="Times New Roman" w:cs="Times New Roman" w:ascii="Times New Roman" w:hAnsi="Times New Roman"/>
                <w:b/>
                <w:sz w:val="16"/>
              </w:rPr>
              <w:t>Cena jednostkowa netto 1 opakowania</w:t>
            </w:r>
          </w:p>
          <w:p>
            <w:pPr>
              <w:pStyle w:val="Normal"/>
              <w:widowControl w:val="false"/>
              <w:spacing w:lineRule="auto" w:line="240" w:before="0" w:after="0"/>
              <w:rPr/>
            </w:pPr>
            <w:r>
              <w:rPr>
                <w:rFonts w:eastAsia="Times New Roman" w:cs="Times New Roman" w:ascii="Times New Roman" w:hAnsi="Times New Roman"/>
                <w:b/>
                <w:sz w:val="16"/>
              </w:rPr>
              <w:t>( c )</w:t>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Cena jednostkowa brutto 1 opakowania</w:t>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Wartość netto ( axc )</w:t>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Wartość brutto</w:t>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Albumina</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350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210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70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Alfa amylaza surowica i mocz</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200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120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40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3</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Fosfataza alkaliczna ALP (IFCC)</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500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4</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Alat</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8500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5100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1700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5</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Aspat</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8500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5100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1700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6</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Białko całkowite w surowicy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400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80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7</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Bilirubina całkowita</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5200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3120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1040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8</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CK</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480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288</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96</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9</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Cholesterol całkowity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1500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900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10</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Cholesterol HDL</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1500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900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11</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CRP</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12000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7200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12</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Fosforany + mocz</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200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120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40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13</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GGTP</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1700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1020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14</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Glukoza GOD</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12000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7200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15</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Kreatynina w surowicy(enzymatyczna)</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15000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9000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3000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16</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LDH(IFFC)</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250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150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50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17</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Kwas moczowy w surowicy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1400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840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280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18</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Mocznik w surowicy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200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120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40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19</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Magnez w surowicy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400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80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20</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Triglicerydy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1500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900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21</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Wapń w surowicy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1700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1020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22</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Żelazo</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1000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600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23</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Lipaza</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500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24</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Białko w moczu</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1300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780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260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25</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color w:val="000000"/>
                <w:sz w:val="22"/>
              </w:rPr>
              <w:t>Mikroalbumina w moczu</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60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26</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Alkohol etylowy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250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150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50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27</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Mleczany</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15</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9</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3</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28</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HbA1c</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400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80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color w:val="000000"/>
                <w:sz w:val="16"/>
              </w:rPr>
              <w:t>29</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D-Dimer</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1200</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720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240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30</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Materiał kontrolny i materiały eksploatacyjne – miesięczny ryczałt</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b/>
                <w:b/>
                <w:bCs/>
                <w:sz w:val="22"/>
              </w:rPr>
            </w:pPr>
            <w:r>
              <w:rPr>
                <w:rFonts w:eastAsia="Calibri" w:cs="Calibri" w:ascii="Calibri" w:hAnsi="Calibri"/>
                <w:b/>
                <w:bCs/>
                <w:sz w:val="22"/>
              </w:rPr>
              <w:t>24 miesiące</w:t>
            </w:r>
          </w:p>
        </w:tc>
        <w:tc>
          <w:tcPr>
            <w:tcW w:w="745" w:type="dxa"/>
            <w:tcBorders>
              <w:top w:val="single" w:sz="4" w:space="0" w:color="000000"/>
              <w:left w:val="single" w:sz="4" w:space="0" w:color="000000"/>
              <w:bottom w:val="single" w:sz="4" w:space="0" w:color="000000"/>
              <w:right w:val="single" w:sz="4" w:space="0" w:color="000000"/>
            </w:tcBorders>
            <w:shd w:color="auto" w:fill="000000" w:themeFill="text1"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07" w:type="dxa"/>
            <w:tcBorders>
              <w:top w:val="single" w:sz="4" w:space="0" w:color="000000"/>
              <w:left w:val="single" w:sz="4" w:space="0" w:color="000000"/>
              <w:bottom w:val="single" w:sz="4" w:space="0" w:color="000000"/>
              <w:right w:val="single" w:sz="4" w:space="0" w:color="000000"/>
            </w:tcBorders>
            <w:shd w:color="auto" w:fill="000000" w:themeFill="text1"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6" w:type="dxa"/>
            <w:tcBorders>
              <w:top w:val="single" w:sz="4" w:space="0" w:color="000000"/>
              <w:left w:val="single" w:sz="4" w:space="0" w:color="000000"/>
              <w:bottom w:val="single" w:sz="4" w:space="0" w:color="000000"/>
              <w:right w:val="single" w:sz="4" w:space="0" w:color="000000"/>
            </w:tcBorders>
            <w:shd w:color="auto" w:fill="000000" w:themeFill="text1"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auto" w:fill="000000" w:themeFill="text1"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auto" w:fill="000000" w:themeFill="text1"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auto" w:fill="000000" w:themeFill="text1"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31</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Kuwety typu Hitachi o poj. 0,5ml</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3000szt</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rFonts w:eastAsia="Times New Roman" w:cs="Times New Roman" w:ascii="Times New Roman" w:hAnsi="Times New Roman"/>
                <w:b/>
                <w:sz w:val="22"/>
              </w:rPr>
              <w:t>1800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rFonts w:eastAsia="Times New Roman" w:cs="Times New Roman" w:ascii="Times New Roman" w:hAnsi="Times New Roman"/>
                <w:b/>
                <w:sz w:val="22"/>
              </w:rPr>
              <w:t>600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32</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Kuwety typu Hitachi o poj. 2ml</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1000szt</w:t>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rFonts w:eastAsia="Times New Roman" w:cs="Times New Roman" w:ascii="Times New Roman" w:hAnsi="Times New Roman"/>
                <w:b/>
                <w:sz w:val="22"/>
              </w:rPr>
              <w:t>600</w:t>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p>
            <w:pPr>
              <w:pStyle w:val="Normal"/>
              <w:widowControl w:val="false"/>
              <w:spacing w:lineRule="auto" w:line="240" w:before="0" w:after="0"/>
              <w:rPr>
                <w:sz w:val="22"/>
              </w:rPr>
            </w:pPr>
            <w:r>
              <w:rPr>
                <w:rFonts w:eastAsia="Times New Roman" w:cs="Times New Roman" w:ascii="Times New Roman" w:hAnsi="Times New Roman"/>
                <w:b/>
                <w:sz w:val="22"/>
              </w:rPr>
              <w:t>200</w:t>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pPr>
            <w:r>
              <w:rPr>
                <w:rFonts w:eastAsia="Times New Roman" w:cs="Times New Roman" w:ascii="Times New Roman" w:hAnsi="Times New Roman"/>
                <w:b/>
                <w:sz w:val="16"/>
              </w:rPr>
              <w:t>33</w:t>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Dzierżawa</w:t>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sz w:val="22"/>
              </w:rPr>
            </w:pPr>
            <w:r>
              <w:rPr>
                <w:rFonts w:eastAsia="Times New Roman" w:cs="Times New Roman" w:ascii="Times New Roman" w:hAnsi="Times New Roman"/>
                <w:b/>
                <w:sz w:val="22"/>
              </w:rPr>
              <w:t>24 miesiące</w:t>
            </w:r>
          </w:p>
        </w:tc>
        <w:tc>
          <w:tcPr>
            <w:tcW w:w="745" w:type="dxa"/>
            <w:tcBorders>
              <w:top w:val="single" w:sz="4" w:space="0" w:color="000000"/>
              <w:left w:val="single" w:sz="4" w:space="0" w:color="000000"/>
              <w:bottom w:val="single" w:sz="4" w:space="0" w:color="000000"/>
              <w:right w:val="single" w:sz="4"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07" w:type="dxa"/>
            <w:tcBorders>
              <w:top w:val="single" w:sz="4" w:space="0" w:color="000000"/>
              <w:left w:val="single" w:sz="4" w:space="0" w:color="000000"/>
              <w:bottom w:val="single" w:sz="4" w:space="0" w:color="000000"/>
              <w:right w:val="single" w:sz="4" w:space="0" w:color="000000"/>
            </w:tcBorders>
            <w:shd w:color="auto" w:fill="000000"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6" w:type="dxa"/>
            <w:tcBorders>
              <w:top w:val="single" w:sz="4" w:space="0" w:color="000000"/>
              <w:left w:val="single" w:sz="4" w:space="0" w:color="000000"/>
              <w:bottom w:val="single" w:sz="4" w:space="0" w:color="000000"/>
              <w:right w:val="single" w:sz="4" w:space="0" w:color="000000"/>
            </w:tcBorders>
            <w:shd w:color="auto" w:fill="000000"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auto" w:fill="000000"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auto" w:fill="000000"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auto" w:fill="000000"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c>
          <w:tcPr>
            <w:tcW w:w="3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173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3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4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0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76"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6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68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7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sz w:val="22"/>
              </w:rPr>
            </w:pPr>
            <w:r>
              <w:rPr>
                <w:rFonts w:eastAsia="Times New Roman" w:cs="Times New Roman" w:ascii="Times New Roman" w:hAnsi="Times New Roman"/>
                <w:b/>
                <w:sz w:val="22"/>
              </w:rPr>
              <w:t>RAZEM</w:t>
            </w:r>
          </w:p>
        </w:tc>
        <w:tc>
          <w:tcPr>
            <w:tcW w:w="5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588"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bl>
    <w:p>
      <w:pPr>
        <w:pStyle w:val="Normal"/>
        <w:spacing w:lineRule="auto" w:line="360"/>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tbl>
      <w:tblPr>
        <w:tblpPr w:vertAnchor="text" w:horzAnchor="margin" w:tblpXSpec="center" w:leftFromText="180" w:rightFromText="180" w:tblpY="820"/>
        <w:tblW w:w="807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62"/>
        <w:gridCol w:w="2409"/>
        <w:gridCol w:w="2553"/>
        <w:gridCol w:w="2550"/>
      </w:tblGrid>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Lp.</w:t>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color w:val="92D050"/>
                <w:sz w:val="22"/>
              </w:rPr>
            </w:pPr>
            <w:r>
              <w:rPr>
                <w:color w:val="92D050"/>
              </w:rPr>
              <w:t>Opis przedmiotu zamówienia</w:t>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color w:val="92D050"/>
              </w:rPr>
            </w:pPr>
            <w:r>
              <w:rPr>
                <w:color w:val="92D050"/>
              </w:rPr>
              <w:t>Nazwa/nr katalogowy</w:t>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color w:val="92D050"/>
                <w:sz w:val="22"/>
              </w:rPr>
            </w:pPr>
            <w:r>
              <w:rPr>
                <w:color w:val="92D050"/>
              </w:rPr>
              <w:t>Liczba niezbędna do pracy analizatora przez 24 miesiące</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1</w:t>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b/>
                <w:b/>
                <w:bCs/>
                <w:sz w:val="22"/>
              </w:rPr>
            </w:pPr>
            <w:r>
              <w:rPr>
                <w:rFonts w:eastAsia="Calibri" w:cs="Calibri" w:ascii="Calibri" w:hAnsi="Calibri"/>
                <w:b/>
                <w:bCs/>
                <w:sz w:val="22"/>
              </w:rPr>
              <w:t>Materiał kontrolny (kontrola 5x w tygodniu na 2 poziomach) parametry nr 2 – 11, 13,14, 17 -18, 20 – 23. Materiał kontrolny liofilizowany lub gotowy do użycia.</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8074" w:type="dxa"/>
            <w:gridSpan w:val="4"/>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 xml:space="preserve">2   </w:t>
            </w:r>
            <w:r>
              <w:rPr/>
              <w:t xml:space="preserve"> </w:t>
            </w:r>
            <w:r>
              <w:rPr>
                <w:rFonts w:eastAsia="Times New Roman" w:cs="Times New Roman" w:ascii="Times New Roman" w:hAnsi="Times New Roman"/>
                <w:b/>
                <w:sz w:val="22"/>
              </w:rPr>
              <w:t>Materiał kontrolny (kontrola 2x w tygodniu) parametry nr 1, 16, 19. Materiał kontrolny liofilizowany lub gotowy do użycia.</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3</w:t>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t>Materiał kontrolny (kontrola 1x w tygodniu) parametry 12, 24 –29. Materiał kontrolny liofilizowany lub gotowy do użycia.</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409"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25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c>
          <w:tcPr>
            <w:tcW w:w="2550"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Calibri" w:cs="Calibri" w:ascii="Calibri" w:hAnsi="Calibri"/>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t>3</w:t>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Calibri" w:hAnsi="Calibri" w:eastAsia="Calibri" w:cs="Calibri"/>
                <w:sz w:val="22"/>
              </w:rPr>
            </w:pPr>
            <w:r>
              <w:rPr>
                <w:rFonts w:eastAsia="Times New Roman" w:cs="Times New Roman" w:ascii="Times New Roman" w:hAnsi="Times New Roman"/>
                <w:b/>
                <w:sz w:val="22"/>
              </w:rPr>
              <w:t>Inne materiały eksploatacyjne w ilości zabezpieczającej czas trwania umowy – jeżeli są wymagane</w:t>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r>
        <w:trPr>
          <w:trHeight w:val="1" w:hRule="atLeast"/>
        </w:trPr>
        <w:tc>
          <w:tcPr>
            <w:tcW w:w="562" w:type="dxa"/>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c>
          <w:tcPr>
            <w:tcW w:w="7512" w:type="dxa"/>
            <w:gridSpan w:val="3"/>
            <w:tcBorders>
              <w:top w:val="single" w:sz="4" w:space="0" w:color="000000"/>
              <w:left w:val="single" w:sz="4" w:space="0" w:color="000000"/>
              <w:bottom w:val="single" w:sz="4" w:space="0" w:color="000000"/>
              <w:right w:val="single" w:sz="6" w:space="0" w:color="000000"/>
            </w:tcBorders>
            <w:shd w:color="000000" w:fill="FFFFFF" w:val="clear"/>
          </w:tcPr>
          <w:p>
            <w:pPr>
              <w:pStyle w:val="Normal"/>
              <w:widowControl w:val="false"/>
              <w:spacing w:lineRule="auto" w:line="240" w:before="0" w:after="0"/>
              <w:rPr>
                <w:rFonts w:ascii="Times New Roman" w:hAnsi="Times New Roman" w:eastAsia="Times New Roman" w:cs="Times New Roman"/>
                <w:b/>
                <w:b/>
                <w:sz w:val="22"/>
              </w:rPr>
            </w:pPr>
            <w:r>
              <w:rPr>
                <w:rFonts w:eastAsia="Times New Roman" w:cs="Times New Roman" w:ascii="Times New Roman" w:hAnsi="Times New Roman"/>
                <w:b/>
                <w:sz w:val="22"/>
              </w:rPr>
            </w:r>
          </w:p>
        </w:tc>
      </w:tr>
    </w:tbl>
    <w:p>
      <w:pPr>
        <w:pStyle w:val="Normal"/>
        <w:spacing w:lineRule="auto" w:line="360"/>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p>
      <w:pPr>
        <w:pStyle w:val="Normal"/>
        <w:spacing w:lineRule="auto" w:line="360"/>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p>
      <w:pPr>
        <w:pStyle w:val="Normal"/>
        <w:spacing w:lineRule="auto" w:line="360"/>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p>
      <w:pPr>
        <w:pStyle w:val="Normal"/>
        <w:spacing w:before="0" w:after="200"/>
        <w:rPr>
          <w:rFonts w:ascii="Times New Roman" w:hAnsi="Times New Roman" w:eastAsia="Times New Roman" w:cs="Times New Roman"/>
          <w:color w:val="EE0000"/>
          <w:sz w:val="22"/>
        </w:rPr>
      </w:pPr>
      <w:r>
        <w:rPr>
          <w:rFonts w:eastAsia="Times New Roman" w:cs="Times New Roman" w:ascii="Times New Roman" w:hAnsi="Times New Roman"/>
          <w:color w:val="EE0000"/>
          <w:sz w:val="22"/>
        </w:rPr>
        <w:t>W tabeli należy wpisać wszystkie niezbędne materiały eksploatacyjnie, materiały kontrolne wraz z przewidywaną niezbędną liczbą materiałów w okresie 24 miesięcy. Na podstawie powyższych informacji należy wyliczyć miesięczny ryczałt oraz wpisać do tabeli w pozycji 30.</w:t>
      </w:r>
    </w:p>
    <w:p>
      <w:pPr>
        <w:pStyle w:val="Normal"/>
        <w:spacing w:lineRule="auto" w:line="360"/>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tbl>
      <w:tblPr>
        <w:tblW w:w="8941"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803"/>
        <w:gridCol w:w="5225"/>
        <w:gridCol w:w="1621"/>
        <w:gridCol w:w="1291"/>
      </w:tblGrid>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0"/>
              <w:jc w:val="center"/>
              <w:rPr>
                <w:sz w:val="22"/>
              </w:rPr>
            </w:pPr>
            <w:r>
              <w:rPr>
                <w:rFonts w:eastAsia="Times New Roman" w:cs="Times New Roman" w:ascii="Times New Roman" w:hAnsi="Times New Roman"/>
                <w:b/>
                <w:sz w:val="22"/>
              </w:rPr>
              <w:t>L.p.</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0"/>
              <w:jc w:val="center"/>
              <w:rPr>
                <w:sz w:val="22"/>
              </w:rPr>
            </w:pPr>
            <w:r>
              <w:rPr>
                <w:rFonts w:eastAsia="Times New Roman" w:cs="Times New Roman" w:ascii="Times New Roman" w:hAnsi="Times New Roman"/>
                <w:b/>
                <w:sz w:val="22"/>
              </w:rPr>
              <w:t>Parametry urządzenia</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0"/>
              <w:jc w:val="center"/>
              <w:rPr>
                <w:sz w:val="22"/>
              </w:rPr>
            </w:pPr>
            <w:r>
              <w:rPr>
                <w:rFonts w:eastAsia="Times New Roman" w:cs="Times New Roman" w:ascii="Times New Roman" w:hAnsi="Times New Roman"/>
                <w:b/>
                <w:sz w:val="22"/>
              </w:rPr>
              <w:t>Wymagane parametry</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0"/>
              <w:jc w:val="center"/>
              <w:rPr>
                <w:sz w:val="22"/>
              </w:rPr>
            </w:pPr>
            <w:r>
              <w:rPr>
                <w:rFonts w:eastAsia="Times New Roman" w:cs="Times New Roman" w:ascii="Times New Roman" w:hAnsi="Times New Roman"/>
                <w:b/>
                <w:sz w:val="22"/>
              </w:rPr>
              <w:t xml:space="preserve">Parametr oferowany </w:t>
            </w:r>
            <w:r>
              <w:rPr>
                <w:rFonts w:eastAsia="Times New Roman" w:cs="Times New Roman" w:ascii="Times New Roman" w:hAnsi="Times New Roman"/>
                <w:b/>
                <w:sz w:val="22"/>
                <w:u w:val="single"/>
              </w:rPr>
              <w:t>(należy podać opis)</w:t>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color w:val="000000"/>
                <w:sz w:val="22"/>
              </w:rPr>
            </w:pPr>
            <w:r>
              <w:rPr>
                <w:rFonts w:eastAsia="Times New Roman" w:cs="Times New Roman" w:ascii="Times New Roman" w:hAnsi="Times New Roman"/>
                <w:color w:val="000000"/>
              </w:rPr>
              <w:t>Analizator rok produkcji nie wcześniej niż 2023</w:t>
            </w:r>
          </w:p>
          <w:p>
            <w:pPr>
              <w:pStyle w:val="Normal"/>
              <w:widowControl w:val="false"/>
              <w:spacing w:lineRule="auto" w:line="240" w:before="0" w:after="200"/>
              <w:rPr>
                <w:rFonts w:ascii="Calibri" w:hAnsi="Calibri" w:eastAsia="Calibri" w:cs="Calibri"/>
                <w:color w:val="000000"/>
                <w:sz w:val="22"/>
              </w:rPr>
            </w:pPr>
            <w:r>
              <w:rPr>
                <w:rFonts w:eastAsia="Times New Roman" w:cs="Times New Roman" w:ascii="Times New Roman" w:hAnsi="Times New Roman"/>
                <w:color w:val="000000"/>
              </w:rPr>
              <w:t>Dostarczony wraz z bezpłatnym pakietem startowym (1 opak glukozy i 1 opak kreatyniny)</w:t>
            </w:r>
          </w:p>
          <w:p>
            <w:pPr>
              <w:pStyle w:val="Normal"/>
              <w:widowControl w:val="false"/>
              <w:spacing w:lineRule="auto" w:line="240" w:before="0" w:after="200"/>
              <w:rPr/>
            </w:pPr>
            <w:r>
              <w:rPr>
                <w:rFonts w:eastAsia="Times New Roman" w:cs="Times New Roman" w:ascii="Times New Roman" w:hAnsi="Times New Roman"/>
                <w:color w:val="000000"/>
              </w:rPr>
              <w:t>Do oferty należy dołączyć wydany przez producenta certyfikat poświadczający datę produkcji i numer seryjny aparatu</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Times New Roman" w:hAnsi="Times New Roman" w:eastAsia="Times New Roman" w:cs="Times New Roman"/>
              </w:rPr>
            </w:pPr>
            <w:r>
              <w:rPr>
                <w:rFonts w:eastAsia="Times New Roman" w:cs="Times New Roman" w:ascii="Times New Roman" w:hAnsi="Times New Roman"/>
              </w:rPr>
              <w:t>Gwarancja na analizator obejmująca cały okres trwania umowy</w:t>
            </w:r>
          </w:p>
          <w:p>
            <w:pPr>
              <w:pStyle w:val="Normal"/>
              <w:widowControl w:val="false"/>
              <w:spacing w:lineRule="auto" w:line="240" w:before="0" w:after="200"/>
              <w:rPr/>
            </w:pPr>
            <w:r>
              <w:rPr>
                <w:rFonts w:eastAsia="Times New Roman" w:cs="Times New Roman" w:ascii="Times New Roman" w:hAnsi="Times New Roman"/>
              </w:rPr>
              <w:t>W sytuacji wystąpienia 3 napraw w przeciągu miesiąca – wymiana aparatu na nowy</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59"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3</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Ilość odczynników oferowanych ma uwzględniać ich stabilność na pokładzie oraz częstość oznaczeń - szczególnie dotyczy oznaczeń w ilości poniżej 1000 w skali trwania przetargu</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59"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4</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 xml:space="preserve">Termin ważności wszystkich dostarczonych odczynników materiałów kontrolnych i kalibratorów nie krótszy niż </w:t>
            </w:r>
            <w:r>
              <w:rPr>
                <w:rFonts w:eastAsia="Times New Roman" w:cs="Times New Roman" w:ascii="Times New Roman" w:hAnsi="Times New Roman"/>
                <w:color w:val="000000"/>
              </w:rPr>
              <w:t>6</w:t>
            </w:r>
            <w:r>
              <w:rPr>
                <w:rFonts w:eastAsia="Times New Roman" w:cs="Times New Roman" w:ascii="Times New Roman" w:hAnsi="Times New Roman"/>
              </w:rPr>
              <w:t xml:space="preserve"> miesięcy.</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59"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5</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System całkowicie otwarty odczynnikowo, oznaczenia w fazie ciekłej</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6</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Całkowita wydajność analizatora min. 300 oznaczeń fotometrycznych na godzinę</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7</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Analizator wyposażony w oddzielne igły – odczynnikową i próbkową .</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8</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Możliwość oznaczania enzymów, substratów, białek specyficznych, D-dimerów, leków, środków uzależniających i trucizn</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9</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Możliwość wykonywania badań w surowicy, osoczu, hemolizacie, moczu i w płynach z jam ciała</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10</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Przedział odczynnikowy na min</w:t>
            </w:r>
            <w:r>
              <w:rPr>
                <w:rFonts w:eastAsia="Times New Roman" w:cs="Times New Roman" w:ascii="Times New Roman" w:hAnsi="Times New Roman"/>
                <w:color w:val="000000"/>
              </w:rPr>
              <w:t>. 42 miejsca</w:t>
            </w:r>
            <w:r>
              <w:rPr>
                <w:rFonts w:eastAsia="Times New Roman" w:cs="Times New Roman" w:ascii="Times New Roman" w:hAnsi="Times New Roman"/>
              </w:rPr>
              <w:t>. Możliwość zastosowania od 1 do 4 odczynników na test. Identyfikacja odczynników z zastosowaniem wewnętrznego czytnika kodów paskowych.</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11</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Możliwość uzupełniania odczynników, kontroli, kalibratorów, próbek badanych i kuwet w każdej fazie pracy aparatu (bez konieczności zmiany trybu pracy na standby, pauza, stop itp.)</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12</w:t>
            </w:r>
          </w:p>
        </w:tc>
        <w:tc>
          <w:tcPr>
            <w:tcW w:w="522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rPr/>
            </w:pPr>
            <w:r>
              <w:rPr>
                <w:rFonts w:eastAsia="Times New Roman" w:cs="Times New Roman" w:ascii="Times New Roman" w:hAnsi="Times New Roman"/>
              </w:rPr>
              <w:t>Identyfikowanie próbek za pomocą barkodu.</w:t>
            </w:r>
          </w:p>
        </w:tc>
        <w:tc>
          <w:tcPr>
            <w:tcW w:w="162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13</w:t>
            </w:r>
          </w:p>
        </w:tc>
        <w:tc>
          <w:tcPr>
            <w:tcW w:w="522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rPr/>
            </w:pPr>
            <w:r>
              <w:rPr>
                <w:rFonts w:eastAsia="Times New Roman" w:cs="Times New Roman" w:ascii="Times New Roman" w:hAnsi="Times New Roman"/>
              </w:rPr>
              <w:t>Chłodzenie odczynników zgodne z zaleceniami producenta aparatu, pozwalające na przechowywanie odczynników na pokładzie analizatora</w:t>
            </w:r>
          </w:p>
        </w:tc>
        <w:tc>
          <w:tcPr>
            <w:tcW w:w="162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14</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Możliwość ciągłego dodawania próbek bez konieczności przerywania pracy. Możliwość wstawienia próby cito w każdym momencie pracy analizatora.</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15</w:t>
            </w:r>
          </w:p>
        </w:tc>
        <w:tc>
          <w:tcPr>
            <w:tcW w:w="522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rPr/>
            </w:pPr>
            <w:r>
              <w:rPr>
                <w:rFonts w:eastAsia="Times New Roman" w:cs="Times New Roman" w:ascii="Times New Roman" w:hAnsi="Times New Roman"/>
              </w:rPr>
              <w:t>Wewnętrzny czytnik kodów paskowych dla próbek pacjenta, możliwość zastosowanie różnego rodzaju probówek i kubeczków na surowicę. Identyfikowanie próbek za pomocą barkodu.</w:t>
            </w:r>
          </w:p>
        </w:tc>
        <w:tc>
          <w:tcPr>
            <w:tcW w:w="162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16</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Automatyczne rozcieńczanie próbek: wstępne i dodatkowe po przekroczeniu liniowości testu. Możliwość przygotowania szeregu rozcieńczeń m. in. dla stężonych kalibratorów</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17</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Kuwety jednorazowe, automatyczny zmieniacz kuwet. Maksymalna objętość mieszaniny reakcyjnej w kuwecie -300 ul.</w:t>
            </w:r>
            <w:r>
              <w:rPr>
                <w:rFonts w:eastAsia="Times New Roman" w:cs="Times New Roman" w:ascii="Times New Roman" w:hAnsi="Times New Roman"/>
                <w:color w:val="000000"/>
              </w:rPr>
              <w:t>.</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18</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color w:val="000000"/>
              </w:rPr>
              <w:t>Analizator wyposażony w system kontroli czystości kuwet</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19</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Materiał kontrolny dla surowicy i moczu dedykowany dla aparatu zawarty w ofercie</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20</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Graficzna i liczbowa prezentacja wyników kontroli jakości badań, reguł Westgarda. Dzienne i zbiorcze raporty kontrolne</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21</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System podtrzymywania zasilania dla całego systemu (analizator + komputer) UPS 30 minut.</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22</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Oprogramowanie analizatora w języku polskim</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23</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Niewymienne źródło światła lub bezpłatna jego wymiana na sprawne w okresie gwarancji aparatu</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24</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Praca w sieci z wykorzystaniem dwukierunkowej transmisji danych</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25</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Wykonawca na swój koszt zapewnia podłączenie analizatora do LIS firmy Assecco</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26</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Bezpłatne użyczenie dejonizatora wody na potrzeby pracowni biochemicznej z bezpłatnym serwisem i wymianą materiałów eksploatacyjnych w okresie trwania umowy</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27</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Okres gwarancji: czas trwania umowy</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28</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Times New Roman" w:hAnsi="Times New Roman" w:eastAsia="Times New Roman" w:cs="Times New Roman"/>
              </w:rPr>
            </w:pPr>
            <w:r>
              <w:rPr>
                <w:rFonts w:eastAsia="Times New Roman" w:cs="Times New Roman" w:ascii="Times New Roman" w:hAnsi="Times New Roman"/>
              </w:rPr>
              <w:t>Wykonawca przeprowadzi bezpłatne szkolenie personelu Zamawiającego</w:t>
            </w:r>
          </w:p>
          <w:p>
            <w:pPr>
              <w:pStyle w:val="Normal"/>
              <w:widowControl w:val="false"/>
              <w:spacing w:lineRule="auto" w:line="240" w:before="0" w:after="200"/>
              <w:rPr/>
            </w:pPr>
            <w:r>
              <w:rPr>
                <w:rFonts w:eastAsia="Times New Roman" w:cs="Times New Roman" w:ascii="Times New Roman" w:hAnsi="Times New Roman"/>
              </w:rPr>
              <w:t>-udokumentowane certyfikatami w zakresie obsługi analizatora do tygodnia od chwili podpisania umowy.</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29</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Karty charakterystyk odczynników i instrukcje metodyczne w języku polskim wydrukowane, zbindowane – wraz z pierwszą dostawą odczynników.</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30</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Times New Roman" w:hAnsi="Times New Roman" w:eastAsia="Times New Roman" w:cs="Times New Roman"/>
              </w:rPr>
            </w:pPr>
            <w:r>
              <w:rPr>
                <w:rFonts w:eastAsia="Times New Roman" w:cs="Times New Roman" w:ascii="Times New Roman" w:hAnsi="Times New Roman"/>
              </w:rPr>
              <w:t>Imienne wskazanie osób do stałych kontaktów w zakresie:</w:t>
            </w:r>
          </w:p>
          <w:p>
            <w:pPr>
              <w:pStyle w:val="Normal"/>
              <w:widowControl w:val="false"/>
              <w:spacing w:lineRule="auto" w:line="240" w:before="0" w:after="200"/>
              <w:rPr>
                <w:rFonts w:ascii="Times New Roman" w:hAnsi="Times New Roman" w:eastAsia="Times New Roman" w:cs="Times New Roman"/>
              </w:rPr>
            </w:pPr>
            <w:r>
              <w:rPr>
                <w:rFonts w:eastAsia="Times New Roman" w:cs="Times New Roman" w:ascii="Times New Roman" w:hAnsi="Times New Roman"/>
              </w:rPr>
              <w:t>obsługi handlowej</w:t>
            </w:r>
          </w:p>
          <w:p>
            <w:pPr>
              <w:pStyle w:val="Normal"/>
              <w:widowControl w:val="false"/>
              <w:spacing w:lineRule="auto" w:line="240" w:before="0" w:after="200"/>
              <w:rPr>
                <w:rFonts w:ascii="Times New Roman" w:hAnsi="Times New Roman" w:eastAsia="Times New Roman" w:cs="Times New Roman"/>
              </w:rPr>
            </w:pPr>
            <w:r>
              <w:rPr>
                <w:rFonts w:eastAsia="Times New Roman" w:cs="Times New Roman" w:ascii="Times New Roman" w:hAnsi="Times New Roman"/>
              </w:rPr>
              <w:t>obsługi serwisowej</w:t>
            </w:r>
          </w:p>
          <w:p>
            <w:pPr>
              <w:pStyle w:val="Normal"/>
              <w:widowControl w:val="false"/>
              <w:spacing w:lineRule="auto" w:line="240" w:before="0" w:after="200"/>
              <w:rPr/>
            </w:pPr>
            <w:r>
              <w:rPr>
                <w:rFonts w:eastAsia="Times New Roman" w:cs="Times New Roman" w:ascii="Times New Roman" w:hAnsi="Times New Roman"/>
              </w:rPr>
              <w:t>wsparcia merytorycznego w zakresie całego trwania przetargu.</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31</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Bezpłatne uczestnictwo w kontroli Standlab lub w programie równoważnym, współpraca z systemem informatycznym.</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32</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color w:val="000000"/>
              </w:rPr>
              <w:t>Wykonawca dostarczy pełną instrukcję obsługi aparatu w wersji papierowej w języku polskim wraz z rozpoczęciem umowy.</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rFonts w:ascii="Times New Roman" w:hAnsi="Times New Roman" w:eastAsia="Times New Roman" w:cs="Times New Roman"/>
                <w:sz w:val="22"/>
              </w:rPr>
            </w:pPr>
            <w:r>
              <w:rPr>
                <w:rFonts w:eastAsia="Times New Roman" w:cs="Times New Roman" w:ascii="Times New Roman" w:hAnsi="Times New Roman"/>
                <w:sz w:val="22"/>
              </w:rPr>
              <w:t>Tak</w:t>
            </w:r>
          </w:p>
          <w:p>
            <w:pPr>
              <w:pStyle w:val="Normal"/>
              <w:widowControl w:val="false"/>
              <w:spacing w:lineRule="auto" w:line="240" w:before="0" w:after="200"/>
              <w:jc w:val="center"/>
              <w:rPr>
                <w:sz w:val="22"/>
              </w:rPr>
            </w:pPr>
            <w:r>
              <w:rPr>
                <w:sz w:val="22"/>
              </w:rPr>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33</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Świadectwo zgodności CE</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rFonts w:ascii="Times New Roman" w:hAnsi="Times New Roman" w:eastAsia="Times New Roman" w:cs="Times New Roman"/>
                <w:sz w:val="22"/>
              </w:rPr>
            </w:pPr>
            <w:r>
              <w:rPr>
                <w:rFonts w:eastAsia="Times New Roman" w:cs="Times New Roman" w:ascii="Times New Roman" w:hAnsi="Times New Roman"/>
                <w:sz w:val="22"/>
              </w:rPr>
              <w:t>Tak</w:t>
            </w:r>
          </w:p>
          <w:p>
            <w:pPr>
              <w:pStyle w:val="Normal"/>
              <w:widowControl w:val="false"/>
              <w:spacing w:lineRule="auto" w:line="240" w:before="0" w:after="200"/>
              <w:jc w:val="center"/>
              <w:rPr>
                <w:sz w:val="22"/>
              </w:rPr>
            </w:pPr>
            <w:r>
              <w:rPr>
                <w:sz w:val="22"/>
              </w:rPr>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34</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Jeżeli aparat będzie tego wymagał - stół pod analizator.</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35</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Zapewnienie merytorycznej konsultacji telefonicznej w przypadku trudności technicznych i interpretacji badań.</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37</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W przypadku zaoferowania materiału kontrolnego bądź odczynników, kalibratorów wymagających przechowywania w temperaturze lodówki i zamrażarki – dostarczenie lodówko-zamrażarki.</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38</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color w:val="000000"/>
              </w:rPr>
              <w:t>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39</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color w:val="000000"/>
              </w:rPr>
              <w:t>Analizator posiada detektor skrzepu i w czytelny sposób informuje użytkownika o jego obecności.</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40</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Wykonawca zapewnia bezpłatne uczestnictwo w programie kontroli zewnątrzlaboratoryjnej (1 lub 2 razy na rok) w zakresie D-dimerów udokumentowanym certyfikatem lub zaświadczeniem na każdy rok trwania umowy (tj. 2026 i 2027r)</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rFonts w:ascii="Calibri" w:hAnsi="Calibri" w:eastAsia="Calibri" w:cs="Calibri"/>
                <w:sz w:val="22"/>
              </w:rPr>
            </w:pPr>
            <w:r>
              <w:rPr>
                <w:rFonts w:eastAsia="Calibri" w:cs="Calibri" w:ascii="Calibri" w:hAnsi="Calibri"/>
                <w:sz w:val="22"/>
              </w:rPr>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41</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before="0" w:after="0"/>
              <w:rPr/>
            </w:pPr>
            <w:r>
              <w:rPr>
                <w:rFonts w:eastAsia="Times New Roman" w:cs="Times New Roman" w:ascii="Times New Roman" w:hAnsi="Times New Roman"/>
                <w:color w:val="000000"/>
              </w:rPr>
              <w:t>Wykonawca zapewnia bezpłatne naprawy i przegląd min. 1x do roku (chyba, że producent analizatora zaleca częściej – wtedy zgodnie z zaleceniami producenta) wraz z częściami zamiennymi.</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rFonts w:ascii="Calibri" w:hAnsi="Calibri" w:eastAsia="Calibri" w:cs="Calibri"/>
                <w:sz w:val="22"/>
              </w:rPr>
            </w:pPr>
            <w:r>
              <w:rPr>
                <w:rFonts w:eastAsia="Calibri" w:cs="Calibri" w:ascii="Calibri" w:hAnsi="Calibri"/>
                <w:sz w:val="22"/>
              </w:rPr>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rHeight w:val="1441" w:hRule="atLeast"/>
        </w:trPr>
        <w:tc>
          <w:tcPr>
            <w:tcW w:w="8940"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p>
            <w:pPr>
              <w:pStyle w:val="Normal"/>
              <w:widowControl w:val="false"/>
              <w:spacing w:lineRule="auto" w:line="240" w:before="0" w:after="200"/>
              <w:jc w:val="center"/>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p>
            <w:pPr>
              <w:pStyle w:val="Normal"/>
              <w:widowControl w:val="false"/>
              <w:spacing w:lineRule="auto" w:line="240" w:before="0" w:after="200"/>
              <w:jc w:val="center"/>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p>
            <w:pPr>
              <w:pStyle w:val="Normal"/>
              <w:widowControl w:val="false"/>
              <w:spacing w:lineRule="auto" w:line="240" w:before="0" w:after="20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20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200"/>
              <w:jc w:val="center"/>
              <w:rPr>
                <w:rFonts w:ascii="Times New Roman" w:hAnsi="Times New Roman" w:eastAsia="Times New Roman" w:cs="Times New Roman"/>
                <w:b/>
                <w:b/>
              </w:rPr>
            </w:pPr>
            <w:r>
              <w:rPr>
                <w:rFonts w:eastAsia="Times New Roman" w:cs="Times New Roman" w:ascii="Times New Roman" w:hAnsi="Times New Roman"/>
                <w:b/>
              </w:rPr>
              <w:t xml:space="preserve">Ocena pożądanych parametrów technicznych i analitycznych </w:t>
            </w:r>
            <w:r>
              <w:rPr>
                <w:rFonts w:eastAsia="Calibri" w:cs="Calibri" w:ascii="Calibri" w:hAnsi="Calibri"/>
                <w:sz w:val="22"/>
              </w:rPr>
              <w:br/>
            </w:r>
            <w:r>
              <w:rPr>
                <w:rFonts w:eastAsia="Times New Roman" w:cs="Times New Roman" w:ascii="Times New Roman" w:hAnsi="Times New Roman"/>
                <w:b/>
              </w:rPr>
              <w:t>dla analizatora – parametry funkcjonalne</w:t>
            </w:r>
          </w:p>
          <w:p>
            <w:pPr>
              <w:pStyle w:val="Normal"/>
              <w:widowControl w:val="false"/>
              <w:spacing w:lineRule="auto" w:line="240" w:before="0" w:after="200"/>
              <w:rPr/>
            </w:pPr>
            <w:r>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1</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Wielkość analizatora do 95 cm szerokości, uwarunkowane powierzchnią w laboratorium</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sz w:val="22"/>
              </w:rPr>
              <w:t>Tak 5pkt, Nie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2</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Niewymienne źródło światła</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200"/>
              <w:jc w:val="center"/>
              <w:rPr>
                <w:sz w:val="22"/>
              </w:rPr>
            </w:pPr>
            <w:r>
              <w:rPr>
                <w:rFonts w:eastAsia="Times New Roman" w:cs="Times New Roman" w:ascii="Times New Roman" w:hAnsi="Times New Roman"/>
                <w:sz w:val="22"/>
              </w:rPr>
              <w:t>Tak 8pkt, Nie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3</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Możliwość czytywania wartości kalibratorów, kontroli i aplikacji z pliku lub z kodu kreskowego</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200"/>
              <w:jc w:val="center"/>
              <w:rPr>
                <w:sz w:val="22"/>
              </w:rPr>
            </w:pPr>
            <w:r>
              <w:rPr>
                <w:rFonts w:eastAsia="Times New Roman" w:cs="Times New Roman" w:ascii="Times New Roman" w:hAnsi="Times New Roman"/>
                <w:color w:val="000000"/>
                <w:sz w:val="22"/>
              </w:rPr>
              <w:t>Tak 2pkt, Nie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4</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Średni poziom hałasu &lt; 60 dB (A)</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200"/>
              <w:jc w:val="center"/>
              <w:rPr>
                <w:sz w:val="22"/>
              </w:rPr>
            </w:pPr>
            <w:r>
              <w:rPr>
                <w:rFonts w:eastAsia="Times New Roman" w:cs="Times New Roman" w:ascii="Times New Roman" w:hAnsi="Times New Roman"/>
                <w:color w:val="000000"/>
                <w:sz w:val="22"/>
              </w:rPr>
              <w:t>Tak 4pkt, Nie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5</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Podać w µl minimalną objętość surowicy potrzebnej do pojedynczego oznaczenia (glukozy) z uwzględnieniem objętości martwej, poparte danymi metodycznymi</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200"/>
              <w:jc w:val="center"/>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t>najmniejsza – 2 pkt</w:t>
            </w:r>
          </w:p>
          <w:p>
            <w:pPr>
              <w:pStyle w:val="Normal"/>
              <w:widowControl w:val="false"/>
              <w:spacing w:lineRule="auto" w:line="240" w:before="0" w:after="200"/>
              <w:jc w:val="center"/>
              <w:rPr>
                <w:sz w:val="22"/>
              </w:rPr>
            </w:pPr>
            <w:r>
              <w:rPr>
                <w:rFonts w:eastAsia="Times New Roman" w:cs="Times New Roman" w:ascii="Times New Roman" w:hAnsi="Times New Roman"/>
                <w:color w:val="000000"/>
                <w:sz w:val="22"/>
              </w:rPr>
              <w:t>pozostałe –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6</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Zaoferowanie w ofercie białka CRP o najwyższej liniowości (poprzeć danymi metodycznymi)</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200"/>
              <w:jc w:val="center"/>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t>najwyższa – 4pkt</w:t>
            </w:r>
          </w:p>
          <w:p>
            <w:pPr>
              <w:pStyle w:val="Normal"/>
              <w:widowControl w:val="false"/>
              <w:spacing w:lineRule="auto" w:line="240" w:before="0" w:after="200"/>
              <w:jc w:val="center"/>
              <w:rPr>
                <w:sz w:val="22"/>
              </w:rPr>
            </w:pPr>
            <w:r>
              <w:rPr>
                <w:rFonts w:eastAsia="Times New Roman" w:cs="Times New Roman" w:ascii="Times New Roman" w:hAnsi="Times New Roman"/>
                <w:color w:val="000000"/>
                <w:sz w:val="22"/>
              </w:rPr>
              <w:t>pozostałe –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7</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Aparat gotowy do pracy przez całą dobę, podać czas przejścia ze stanu „stand by” do gotowości w minutach, sekundach</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200"/>
              <w:jc w:val="center"/>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t>najkrótszy – 5pkt</w:t>
            </w:r>
          </w:p>
          <w:p>
            <w:pPr>
              <w:pStyle w:val="Normal"/>
              <w:widowControl w:val="false"/>
              <w:spacing w:lineRule="auto" w:line="240" w:before="0" w:after="200"/>
              <w:jc w:val="center"/>
              <w:rPr>
                <w:sz w:val="22"/>
              </w:rPr>
            </w:pPr>
            <w:r>
              <w:rPr>
                <w:rFonts w:eastAsia="Times New Roman" w:cs="Times New Roman" w:ascii="Times New Roman" w:hAnsi="Times New Roman"/>
                <w:color w:val="000000"/>
                <w:sz w:val="22"/>
              </w:rPr>
              <w:t>pozostałe –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03"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jc w:val="center"/>
              <w:rPr>
                <w:sz w:val="22"/>
              </w:rPr>
            </w:pPr>
            <w:r>
              <w:rPr>
                <w:rFonts w:eastAsia="Times New Roman" w:cs="Times New Roman" w:ascii="Times New Roman" w:hAnsi="Times New Roman"/>
                <w:b/>
                <w:color w:val="000000"/>
                <w:sz w:val="22"/>
              </w:rPr>
              <w:t>8</w:t>
            </w:r>
          </w:p>
        </w:tc>
        <w:tc>
          <w:tcPr>
            <w:tcW w:w="52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pPr>
            <w:r>
              <w:rPr>
                <w:rFonts w:eastAsia="Times New Roman" w:cs="Times New Roman" w:ascii="Times New Roman" w:hAnsi="Times New Roman"/>
              </w:rPr>
              <w:t>Certyfikowany przez producenta serwis i aplikacja</w:t>
            </w:r>
          </w:p>
        </w:tc>
        <w:tc>
          <w:tcPr>
            <w:tcW w:w="162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spacing w:lineRule="auto" w:line="240" w:before="0" w:after="200"/>
              <w:jc w:val="center"/>
              <w:rPr>
                <w:sz w:val="22"/>
              </w:rPr>
            </w:pPr>
            <w:r>
              <w:rPr>
                <w:rFonts w:eastAsia="Times New Roman" w:cs="Times New Roman" w:ascii="Times New Roman" w:hAnsi="Times New Roman"/>
                <w:color w:val="000000"/>
                <w:sz w:val="22"/>
              </w:rPr>
              <w:t>Tak 10pkt, Nie 0 pkt</w:t>
            </w:r>
          </w:p>
        </w:tc>
        <w:tc>
          <w:tcPr>
            <w:tcW w:w="129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200"/>
              <w:rPr>
                <w:rFonts w:ascii="Calibri" w:hAnsi="Calibri" w:eastAsia="Calibri" w:cs="Calibri"/>
                <w:sz w:val="22"/>
              </w:rPr>
            </w:pPr>
            <w:r>
              <w:rPr>
                <w:rFonts w:eastAsia="Calibri" w:cs="Calibri" w:ascii="Calibri" w:hAnsi="Calibri"/>
                <w:sz w:val="22"/>
              </w:rPr>
            </w:r>
          </w:p>
        </w:tc>
      </w:tr>
      <w:tr>
        <w:trPr/>
        <w:tc>
          <w:tcPr>
            <w:tcW w:w="8940"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spacing w:lineRule="auto" w:line="240" w:before="0" w:after="160"/>
              <w:jc w:val="center"/>
              <w:rPr>
                <w:sz w:val="22"/>
              </w:rPr>
            </w:pPr>
            <w:r>
              <w:rPr>
                <w:rFonts w:eastAsia="Times New Roman" w:cs="Times New Roman" w:ascii="Times New Roman" w:hAnsi="Times New Roman"/>
                <w:b/>
                <w:color w:val="000000"/>
                <w:sz w:val="22"/>
              </w:rPr>
              <w:t>Maksymalna ilość punktów 40</w:t>
            </w:r>
          </w:p>
        </w:tc>
      </w:tr>
    </w:tbl>
    <w:p>
      <w:pPr>
        <w:pStyle w:val="Normal"/>
        <w:spacing w:lineRule="auto" w:line="240"/>
        <w:rPr>
          <w:rFonts w:ascii="Times New Roman" w:hAnsi="Times New Roman" w:eastAsia="Times New Roman" w:cs="Times New Roman"/>
          <w:color w:val="000000"/>
          <w:sz w:val="22"/>
        </w:rPr>
      </w:pPr>
      <w:r>
        <w:rPr>
          <w:rFonts w:eastAsia="Times New Roman" w:cs="Times New Roman" w:ascii="Times New Roman" w:hAnsi="Times New Roman"/>
          <w:color w:val="000000"/>
          <w:sz w:val="22"/>
        </w:rPr>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Numer telefonu do Serwisu 24h, obsługi handlowej i merytorycznej znajduje się w umowie.</w:t>
      </w:r>
    </w:p>
    <w:p>
      <w:pPr>
        <w:pStyle w:val="Normal"/>
        <w:spacing w:before="0" w:after="0"/>
        <w:rPr>
          <w:rFonts w:ascii="Times New Roman" w:hAnsi="Times New Roman" w:eastAsia="Times New Roman" w:cs="Times New Roman"/>
          <w:sz w:val="22"/>
        </w:rPr>
      </w:pPr>
      <w:r>
        <w:rPr>
          <w:rFonts w:eastAsia="Times New Roman" w:cs="Times New Roman" w:ascii="Times New Roman" w:hAnsi="Times New Roman"/>
          <w:color w:val="000000"/>
          <w:sz w:val="22"/>
        </w:rPr>
        <w:t>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p>
      <w:pPr>
        <w:pStyle w:val="Normal"/>
        <w:spacing w:before="0" w:after="0"/>
        <w:rPr>
          <w:rFonts w:ascii="Calibri" w:hAnsi="Calibri" w:eastAsia="Calibri" w:cs="Calibri"/>
          <w:color w:val="000000"/>
          <w:sz w:val="22"/>
        </w:rPr>
      </w:pPr>
      <w:r>
        <w:rPr>
          <w:rFonts w:eastAsia="Calibri" w:cs="Calibri" w:ascii="Calibri" w:hAnsi="Calibri"/>
          <w:color w:val="000000"/>
          <w:sz w:val="22"/>
        </w:rPr>
      </w:r>
    </w:p>
    <w:p>
      <w:pPr>
        <w:pStyle w:val="Normal"/>
        <w:spacing w:before="0" w:after="0"/>
        <w:rPr>
          <w:rFonts w:ascii="Calibri" w:hAnsi="Calibri" w:eastAsia="Calibri" w:cs="Calibri"/>
          <w:color w:val="000000"/>
          <w:sz w:val="22"/>
        </w:rPr>
      </w:pPr>
      <w:r>
        <w:rPr>
          <w:rFonts w:eastAsia="Times New Roman" w:cs="Times New Roman" w:ascii="Times New Roman" w:hAnsi="Times New Roman"/>
          <w:color w:val="000000"/>
          <w:sz w:val="22"/>
        </w:rPr>
        <w:t>Ważność odczynników min. 6 mies.</w:t>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t>Gwarancja na analizator obejmująca cały okres trwania umowy – uwzględniająca bezpłatnie</w:t>
      </w:r>
      <w:r>
        <w:rPr>
          <w:rFonts w:eastAsia="Times New Roman" w:cs="Times New Roman" w:ascii="Times New Roman" w:hAnsi="Times New Roman"/>
          <w:color w:val="C9211E"/>
        </w:rPr>
        <w:t xml:space="preserve"> </w:t>
      </w:r>
      <w:r>
        <w:rPr>
          <w:rFonts w:eastAsia="Times New Roman" w:cs="Times New Roman" w:ascii="Times New Roman" w:hAnsi="Times New Roman"/>
        </w:rPr>
        <w:t xml:space="preserve">koszty napraw, wymiany podzespołów, okresowych przeglądów serwisowych oraz </w:t>
      </w:r>
      <w:r>
        <w:rPr>
          <w:rFonts w:eastAsia="Times New Roman" w:cs="Times New Roman" w:ascii="Times New Roman" w:hAnsi="Times New Roman"/>
          <w:shd w:fill="FFFFFF" w:val="clear"/>
        </w:rPr>
        <w:t>wszystkich niezbędnych części i akcesoriów</w:t>
      </w:r>
    </w:p>
    <w:p>
      <w:pPr>
        <w:pStyle w:val="Normal"/>
        <w:spacing w:lineRule="auto" w:line="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before="0" w:after="0"/>
        <w:rPr>
          <w:rFonts w:ascii="Times New Roman" w:hAnsi="Times New Roman" w:eastAsia="Times New Roman" w:cs="Times New Roman"/>
          <w:b/>
          <w:b/>
          <w:sz w:val="22"/>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Calibri">
    <w:charset w:val="ee"/>
    <w:family w:val="roman"/>
    <w:pitch w:val="variable"/>
  </w:font>
  <w:font w:name="Times">
    <w:altName w:val="Times New Roman"/>
    <w:charset w:val="ee"/>
    <w:family w:val="roman"/>
    <w:pitch w:val="variable"/>
  </w:font>
  <w:font w:name="Tahoma">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pl-PL" w:eastAsia="pl-PL"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 w:cs="" w:asciiTheme="minorHAnsi" w:cstheme="minorBidi" w:eastAsiaTheme="minorEastAsia" w:hAnsiTheme="minorHAnsi"/>
      <w:color w:val="auto"/>
      <w:kern w:val="2"/>
      <w:sz w:val="24"/>
      <w:szCs w:val="24"/>
      <w:lang w:val="pl-PL" w:eastAsia="pl-PL" w:bidi="ar-SA"/>
      <w14:ligatures w14:val="standardContextua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277a4"/>
    <w:rPr>
      <w:sz w:val="16"/>
      <w:szCs w:val="16"/>
    </w:rPr>
  </w:style>
  <w:style w:type="character" w:styleId="TekstkomentarzaZnak" w:customStyle="1">
    <w:name w:val="Tekst komentarza Znak"/>
    <w:basedOn w:val="DefaultParagraphFont"/>
    <w:link w:val="Annotationtext"/>
    <w:uiPriority w:val="99"/>
    <w:qFormat/>
    <w:rsid w:val="007277a4"/>
    <w:rPr>
      <w:sz w:val="20"/>
      <w:szCs w:val="20"/>
    </w:rPr>
  </w:style>
  <w:style w:type="character" w:styleId="TematkomentarzaZnak" w:customStyle="1">
    <w:name w:val="Temat komentarza Znak"/>
    <w:basedOn w:val="TekstkomentarzaZnak"/>
    <w:link w:val="Annotationsubject"/>
    <w:uiPriority w:val="99"/>
    <w:semiHidden/>
    <w:qFormat/>
    <w:rsid w:val="007277a4"/>
    <w:rPr>
      <w:b/>
      <w:bCs/>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eb63b3"/>
    <w:pPr>
      <w:spacing w:before="0" w:after="160"/>
      <w:ind w:left="720" w:hanging="0"/>
      <w:contextualSpacing/>
    </w:pPr>
    <w:rPr/>
  </w:style>
  <w:style w:type="paragraph" w:styleId="Annotationtext">
    <w:name w:val="annotation text"/>
    <w:basedOn w:val="Normal"/>
    <w:link w:val="TekstkomentarzaZnak"/>
    <w:uiPriority w:val="99"/>
    <w:unhideWhenUsed/>
    <w:qFormat/>
    <w:rsid w:val="007277a4"/>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277a4"/>
    <w:pPr/>
    <w:rPr>
      <w:b/>
      <w:bCs/>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959A-48F1-4362-8875-8C0BE296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LibreOffice/7.4.2.3$Windows_X86_64 LibreOffice_project/382eef1f22670f7f4118c8c2dd222ec7ad009daf</Application>
  <AppVersion>15.0000</AppVersion>
  <Pages>43</Pages>
  <Words>8447</Words>
  <Characters>50009</Characters>
  <CharactersWithSpaces>57138</CharactersWithSpaces>
  <Paragraphs>1699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2025-07-30T11:57:00Z</dcterms:created>
  <dc:creator>Tymoteusz Luber</dc:creator>
  <dc:description/>
  <dc:language>pl-PL</dc:language>
  <cp:lastModifiedBy/>
  <dcterms:modified xsi:type="dcterms:W3CDTF">2025-08-02T06:10:12Z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